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3C01" w:rsidRDefault="0021780D" w:rsidP="009900A4">
      <w:pPr>
        <w:pStyle w:val="Anschrift"/>
      </w:pPr>
      <w:bookmarkStart w:id="0" w:name="_GoBack"/>
      <w:bookmarkEnd w:id="0"/>
      <w:r>
        <w:rPr>
          <w:noProof/>
          <w:lang w:eastAsia="zh-CN"/>
        </w:rPr>
        <w:drawing>
          <wp:anchor distT="0" distB="0" distL="114300" distR="114300" simplePos="0" relativeHeight="251660288" behindDoc="0" locked="0" layoutInCell="1" allowOverlap="1" wp14:anchorId="15340F97" wp14:editId="0946C589">
            <wp:simplePos x="0" y="0"/>
            <wp:positionH relativeFrom="margin">
              <wp:posOffset>-165735</wp:posOffset>
            </wp:positionH>
            <wp:positionV relativeFrom="margin">
              <wp:posOffset>-546100</wp:posOffset>
            </wp:positionV>
            <wp:extent cx="1654175" cy="633730"/>
            <wp:effectExtent l="0" t="0" r="0" b="0"/>
            <wp:wrapSquare wrapText="bothSides"/>
            <wp:docPr id="2" name="Grafik 2" descr="sh_claim_de_4c_zweizeil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descr="sh_claim_de_4c_zweizeili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54175" cy="6337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zh-CN"/>
        </w:rPr>
        <w:drawing>
          <wp:anchor distT="0" distB="0" distL="114300" distR="114300" simplePos="0" relativeHeight="251661312" behindDoc="0" locked="0" layoutInCell="1" allowOverlap="1" wp14:anchorId="23AE6611" wp14:editId="748E6134">
            <wp:simplePos x="0" y="0"/>
            <wp:positionH relativeFrom="page">
              <wp:posOffset>3848735</wp:posOffset>
            </wp:positionH>
            <wp:positionV relativeFrom="page">
              <wp:posOffset>-66370</wp:posOffset>
            </wp:positionV>
            <wp:extent cx="3596005" cy="1219835"/>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596005" cy="121983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333C01" w:rsidRDefault="00333C01" w:rsidP="009900A4">
      <w:pPr>
        <w:pStyle w:val="Anschrift"/>
      </w:pPr>
    </w:p>
    <w:p w:rsidR="00333C01" w:rsidRDefault="00333C01" w:rsidP="009900A4">
      <w:pPr>
        <w:pStyle w:val="Anschrift"/>
      </w:pPr>
    </w:p>
    <w:p w:rsidR="007D2DD1" w:rsidRDefault="007D2DD1" w:rsidP="009900A4">
      <w:pPr>
        <w:pStyle w:val="Anschrift"/>
      </w:pPr>
    </w:p>
    <w:p w:rsidR="00AA336C" w:rsidRDefault="00375D6B" w:rsidP="009900A4">
      <w:pPr>
        <w:pStyle w:val="Anschrift"/>
        <w:rPr>
          <w:rFonts w:asciiTheme="minorHAnsi" w:hAnsiTheme="minorHAnsi"/>
          <w:b/>
          <w:sz w:val="32"/>
          <w:szCs w:val="32"/>
        </w:rPr>
      </w:pPr>
      <w:r>
        <w:rPr>
          <w:rFonts w:asciiTheme="minorHAnsi" w:hAnsiTheme="minorHAnsi"/>
          <w:b/>
          <w:sz w:val="32"/>
          <w:szCs w:val="32"/>
        </w:rPr>
        <w:t xml:space="preserve">Merkblatt zu Kürzungen und </w:t>
      </w:r>
      <w:r w:rsidR="009D7706">
        <w:rPr>
          <w:rFonts w:asciiTheme="minorHAnsi" w:hAnsiTheme="minorHAnsi"/>
          <w:b/>
          <w:sz w:val="32"/>
          <w:szCs w:val="32"/>
        </w:rPr>
        <w:t>verwaltungsrechtliche</w:t>
      </w:r>
      <w:r w:rsidR="001D0E41">
        <w:rPr>
          <w:rFonts w:asciiTheme="minorHAnsi" w:hAnsiTheme="minorHAnsi"/>
          <w:b/>
          <w:sz w:val="32"/>
          <w:szCs w:val="32"/>
        </w:rPr>
        <w:t>n</w:t>
      </w:r>
      <w:r w:rsidR="009D7706">
        <w:rPr>
          <w:rFonts w:asciiTheme="minorHAnsi" w:hAnsiTheme="minorHAnsi"/>
          <w:b/>
          <w:sz w:val="32"/>
          <w:szCs w:val="32"/>
        </w:rPr>
        <w:t xml:space="preserve"> </w:t>
      </w:r>
      <w:r>
        <w:rPr>
          <w:rFonts w:asciiTheme="minorHAnsi" w:hAnsiTheme="minorHAnsi"/>
          <w:b/>
          <w:sz w:val="32"/>
          <w:szCs w:val="32"/>
        </w:rPr>
        <w:t xml:space="preserve">Sanktionen mit </w:t>
      </w:r>
      <w:r w:rsidR="00333C01" w:rsidRPr="00333C01">
        <w:rPr>
          <w:rFonts w:asciiTheme="minorHAnsi" w:hAnsiTheme="minorHAnsi"/>
          <w:b/>
          <w:sz w:val="32"/>
          <w:szCs w:val="32"/>
        </w:rPr>
        <w:t>Rahmensanktionskatalog</w:t>
      </w:r>
      <w:r w:rsidR="009D7706">
        <w:rPr>
          <w:rFonts w:asciiTheme="minorHAnsi" w:hAnsiTheme="minorHAnsi"/>
          <w:b/>
          <w:sz w:val="32"/>
          <w:szCs w:val="32"/>
        </w:rPr>
        <w:t xml:space="preserve"> </w:t>
      </w:r>
      <w:r w:rsidRPr="009D7706">
        <w:rPr>
          <w:rFonts w:asciiTheme="minorHAnsi" w:hAnsiTheme="minorHAnsi"/>
          <w:b/>
          <w:sz w:val="32"/>
          <w:szCs w:val="32"/>
        </w:rPr>
        <w:t>für investive</w:t>
      </w:r>
      <w:r w:rsidR="00333C01" w:rsidRPr="009D7706">
        <w:rPr>
          <w:rFonts w:asciiTheme="minorHAnsi" w:hAnsiTheme="minorHAnsi"/>
          <w:b/>
          <w:sz w:val="32"/>
          <w:szCs w:val="32"/>
        </w:rPr>
        <w:t xml:space="preserve"> ELER-Maßnahmen</w:t>
      </w:r>
    </w:p>
    <w:p w:rsidR="00333C01" w:rsidRPr="00375D6B" w:rsidRDefault="000C6B65" w:rsidP="009900A4">
      <w:pPr>
        <w:pStyle w:val="Anschrift"/>
        <w:rPr>
          <w:sz w:val="22"/>
          <w:szCs w:val="22"/>
        </w:rPr>
      </w:pPr>
      <w:r w:rsidRPr="00375D6B">
        <w:rPr>
          <w:sz w:val="22"/>
          <w:szCs w:val="22"/>
        </w:rPr>
        <w:t>(Nicht flächen</w:t>
      </w:r>
      <w:r w:rsidR="008E1DB1">
        <w:rPr>
          <w:sz w:val="22"/>
          <w:szCs w:val="22"/>
        </w:rPr>
        <w:t>- bzw. nicht tier</w:t>
      </w:r>
      <w:r w:rsidRPr="00375D6B">
        <w:rPr>
          <w:sz w:val="22"/>
          <w:szCs w:val="22"/>
        </w:rPr>
        <w:t>bezogene Maßnahmen zur Entwicklung des ländlichen Raums)</w:t>
      </w:r>
    </w:p>
    <w:p w:rsidR="00333C01" w:rsidRDefault="00333C01" w:rsidP="009900A4">
      <w:pPr>
        <w:pStyle w:val="Anschrift"/>
      </w:pPr>
    </w:p>
    <w:p w:rsidR="000C6B65" w:rsidRDefault="000C6B65" w:rsidP="009900A4">
      <w:pPr>
        <w:pStyle w:val="Anschrift"/>
      </w:pPr>
    </w:p>
    <w:p w:rsidR="00D23E5F" w:rsidRPr="00D23E5F" w:rsidRDefault="00D23E5F" w:rsidP="00D23E5F">
      <w:pPr>
        <w:pStyle w:val="Anschrift"/>
        <w:numPr>
          <w:ilvl w:val="0"/>
          <w:numId w:val="6"/>
        </w:numPr>
        <w:spacing w:before="120"/>
        <w:rPr>
          <w:rFonts w:asciiTheme="minorHAnsi" w:hAnsiTheme="minorHAnsi"/>
          <w:b/>
          <w:sz w:val="28"/>
          <w:szCs w:val="28"/>
        </w:rPr>
      </w:pPr>
      <w:r>
        <w:rPr>
          <w:rFonts w:asciiTheme="minorHAnsi" w:hAnsiTheme="minorHAnsi"/>
          <w:b/>
          <w:sz w:val="28"/>
          <w:szCs w:val="28"/>
        </w:rPr>
        <w:t>Allgemeine Erläuterungen: Rechtsgrundlage, Definitionen:</w:t>
      </w:r>
    </w:p>
    <w:p w:rsidR="00D23E5F" w:rsidRDefault="00D23E5F" w:rsidP="00DC4692">
      <w:pPr>
        <w:pStyle w:val="Anschrift"/>
        <w:jc w:val="both"/>
        <w:rPr>
          <w:sz w:val="22"/>
          <w:szCs w:val="22"/>
        </w:rPr>
      </w:pPr>
    </w:p>
    <w:p w:rsidR="008D0BDC" w:rsidRDefault="008D0BDC" w:rsidP="00DC4692">
      <w:pPr>
        <w:pStyle w:val="Anschrift"/>
        <w:jc w:val="both"/>
        <w:rPr>
          <w:sz w:val="22"/>
          <w:szCs w:val="22"/>
        </w:rPr>
      </w:pPr>
      <w:r>
        <w:rPr>
          <w:sz w:val="22"/>
          <w:szCs w:val="22"/>
        </w:rPr>
        <w:t xml:space="preserve">Verwaltungsrechtliche Sanktionen dürfen nach Art. 2 Abs. 2 VO (EG, EURATOM) Nr. 2988/1995 des Rates nur verhängt werden, wenn sie in einem Rechtsakt der Gemeinschaften </w:t>
      </w:r>
      <w:r w:rsidR="00CE2847">
        <w:rPr>
          <w:sz w:val="22"/>
          <w:szCs w:val="22"/>
        </w:rPr>
        <w:t xml:space="preserve">(heute: der Europäischen Union) </w:t>
      </w:r>
      <w:r>
        <w:rPr>
          <w:sz w:val="22"/>
          <w:szCs w:val="22"/>
        </w:rPr>
        <w:t>vor dem Zeitpunkt der Unregelmäßigkeit vorgesehen wurde</w:t>
      </w:r>
      <w:r w:rsidR="002568DC">
        <w:rPr>
          <w:sz w:val="22"/>
          <w:szCs w:val="22"/>
        </w:rPr>
        <w:t>n</w:t>
      </w:r>
      <w:r>
        <w:rPr>
          <w:sz w:val="22"/>
          <w:szCs w:val="22"/>
        </w:rPr>
        <w:t>.</w:t>
      </w:r>
    </w:p>
    <w:p w:rsidR="003E05F6" w:rsidRDefault="003E05F6" w:rsidP="00D23E5F">
      <w:pPr>
        <w:pStyle w:val="Anschrift"/>
        <w:spacing w:before="120"/>
        <w:jc w:val="both"/>
        <w:rPr>
          <w:rFonts w:cs="Arial"/>
          <w:sz w:val="22"/>
          <w:szCs w:val="22"/>
        </w:rPr>
      </w:pPr>
      <w:r>
        <w:rPr>
          <w:rFonts w:cs="Arial"/>
          <w:sz w:val="22"/>
          <w:szCs w:val="22"/>
        </w:rPr>
        <w:t>Verwaltungsrechtliche Sanktionen sollen grundsätzlich die ordnungsg</w:t>
      </w:r>
      <w:r w:rsidR="00CE2847">
        <w:rPr>
          <w:rFonts w:cs="Arial"/>
          <w:sz w:val="22"/>
          <w:szCs w:val="22"/>
        </w:rPr>
        <w:t>emäße Anwendung des Unionsrecht</w:t>
      </w:r>
      <w:r>
        <w:rPr>
          <w:rFonts w:cs="Arial"/>
          <w:sz w:val="22"/>
          <w:szCs w:val="22"/>
        </w:rPr>
        <w:t>s sicherstellen; sie müssen wirksam, verhältnismäßig und abschreckend sein, um einen angemessenen Schutz der finanziellen Interessen der Europäischen Union zu gewäh</w:t>
      </w:r>
      <w:r>
        <w:rPr>
          <w:rFonts w:cs="Arial"/>
          <w:sz w:val="22"/>
          <w:szCs w:val="22"/>
        </w:rPr>
        <w:t>r</w:t>
      </w:r>
      <w:r>
        <w:rPr>
          <w:rFonts w:cs="Arial"/>
          <w:sz w:val="22"/>
          <w:szCs w:val="22"/>
        </w:rPr>
        <w:t>leisten.</w:t>
      </w:r>
    </w:p>
    <w:p w:rsidR="000C6B65" w:rsidRDefault="000C6B65" w:rsidP="00D23E5F">
      <w:pPr>
        <w:pStyle w:val="Anschrift"/>
        <w:spacing w:before="120"/>
        <w:jc w:val="both"/>
        <w:rPr>
          <w:sz w:val="22"/>
          <w:szCs w:val="22"/>
        </w:rPr>
      </w:pPr>
      <w:r w:rsidRPr="00375D6B">
        <w:rPr>
          <w:sz w:val="22"/>
          <w:szCs w:val="22"/>
        </w:rPr>
        <w:t>Die</w:t>
      </w:r>
      <w:r w:rsidR="00CE2847">
        <w:rPr>
          <w:sz w:val="22"/>
          <w:szCs w:val="22"/>
        </w:rPr>
        <w:t xml:space="preserve"> jeweils zuständigen Rechtssetzungsorgane der Europäischen Union</w:t>
      </w:r>
      <w:r w:rsidRPr="00375D6B">
        <w:rPr>
          <w:sz w:val="22"/>
          <w:szCs w:val="22"/>
        </w:rPr>
        <w:t xml:space="preserve"> ha</w:t>
      </w:r>
      <w:r w:rsidR="00CE2847">
        <w:rPr>
          <w:sz w:val="22"/>
          <w:szCs w:val="22"/>
        </w:rPr>
        <w:t>ben</w:t>
      </w:r>
      <w:r w:rsidRPr="00375D6B">
        <w:rPr>
          <w:sz w:val="22"/>
          <w:szCs w:val="22"/>
        </w:rPr>
        <w:t xml:space="preserve"> </w:t>
      </w:r>
      <w:r w:rsidR="008D0BDC">
        <w:rPr>
          <w:sz w:val="22"/>
          <w:szCs w:val="22"/>
        </w:rPr>
        <w:t>die Ablehnung un</w:t>
      </w:r>
      <w:r w:rsidR="003E05F6">
        <w:rPr>
          <w:sz w:val="22"/>
          <w:szCs w:val="22"/>
        </w:rPr>
        <w:t>d Rücknahme bzw. Kürzung der F</w:t>
      </w:r>
      <w:r w:rsidR="008D0BDC">
        <w:rPr>
          <w:sz w:val="22"/>
          <w:szCs w:val="22"/>
        </w:rPr>
        <w:t xml:space="preserve">örderung sowie </w:t>
      </w:r>
      <w:r w:rsidR="003E05F6">
        <w:rPr>
          <w:sz w:val="22"/>
          <w:szCs w:val="22"/>
        </w:rPr>
        <w:t>die Anwendung von Verwaltungssankti</w:t>
      </w:r>
      <w:r w:rsidR="003E05F6">
        <w:rPr>
          <w:sz w:val="22"/>
          <w:szCs w:val="22"/>
        </w:rPr>
        <w:t>o</w:t>
      </w:r>
      <w:r w:rsidR="003E05F6">
        <w:rPr>
          <w:sz w:val="22"/>
          <w:szCs w:val="22"/>
        </w:rPr>
        <w:t xml:space="preserve">nen bei Verstößen </w:t>
      </w:r>
      <w:r w:rsidR="00E31792">
        <w:rPr>
          <w:sz w:val="22"/>
          <w:szCs w:val="22"/>
        </w:rPr>
        <w:t xml:space="preserve">im Bereich der Agrarfonds EGFL und ELER </w:t>
      </w:r>
      <w:r w:rsidR="003E05F6">
        <w:rPr>
          <w:sz w:val="22"/>
          <w:szCs w:val="22"/>
        </w:rPr>
        <w:t xml:space="preserve">grundsätzlich in den Art. 63 und 64 VO (EU) Nr. 1306/2013 und </w:t>
      </w:r>
      <w:r w:rsidR="003E05F6" w:rsidRPr="00B90DEB">
        <w:rPr>
          <w:b/>
          <w:sz w:val="22"/>
          <w:szCs w:val="22"/>
        </w:rPr>
        <w:t>ergänzend für investive</w:t>
      </w:r>
      <w:r w:rsidR="003E05F6" w:rsidRPr="0066432E">
        <w:rPr>
          <w:sz w:val="22"/>
          <w:szCs w:val="22"/>
        </w:rPr>
        <w:t xml:space="preserve"> </w:t>
      </w:r>
      <w:r w:rsidR="003E05F6" w:rsidRPr="00B90DEB">
        <w:rPr>
          <w:b/>
          <w:sz w:val="22"/>
          <w:szCs w:val="22"/>
        </w:rPr>
        <w:t xml:space="preserve">ELER-Maßnahmen in Art. 63 </w:t>
      </w:r>
      <w:r w:rsidR="00CE2847">
        <w:rPr>
          <w:b/>
          <w:sz w:val="22"/>
          <w:szCs w:val="22"/>
        </w:rPr>
        <w:t>D</w:t>
      </w:r>
      <w:r w:rsidR="003E05F6" w:rsidRPr="00B90DEB">
        <w:rPr>
          <w:b/>
          <w:sz w:val="22"/>
          <w:szCs w:val="22"/>
        </w:rPr>
        <w:t xml:space="preserve">VO (EU) Nr. 809/2014 </w:t>
      </w:r>
      <w:r w:rsidR="005753FD">
        <w:rPr>
          <w:b/>
          <w:sz w:val="22"/>
          <w:szCs w:val="22"/>
        </w:rPr>
        <w:t>sowie</w:t>
      </w:r>
      <w:r w:rsidR="003E05F6" w:rsidRPr="00B90DEB">
        <w:rPr>
          <w:b/>
          <w:sz w:val="22"/>
          <w:szCs w:val="22"/>
        </w:rPr>
        <w:t xml:space="preserve"> Art. 35 </w:t>
      </w:r>
      <w:r w:rsidR="00CE2847">
        <w:rPr>
          <w:b/>
          <w:sz w:val="22"/>
          <w:szCs w:val="22"/>
        </w:rPr>
        <w:t xml:space="preserve">der Delegierten </w:t>
      </w:r>
      <w:r w:rsidR="003E05F6" w:rsidRPr="00B90DEB">
        <w:rPr>
          <w:b/>
          <w:sz w:val="22"/>
          <w:szCs w:val="22"/>
        </w:rPr>
        <w:t xml:space="preserve">VO (EU) Nr. 640/2014 </w:t>
      </w:r>
      <w:r w:rsidR="003E05F6" w:rsidRPr="0066432E">
        <w:rPr>
          <w:sz w:val="22"/>
          <w:szCs w:val="22"/>
        </w:rPr>
        <w:t>geregelt</w:t>
      </w:r>
      <w:r w:rsidR="003E05F6">
        <w:rPr>
          <w:sz w:val="22"/>
          <w:szCs w:val="22"/>
        </w:rPr>
        <w:t xml:space="preserve">. </w:t>
      </w:r>
      <w:r w:rsidRPr="00375D6B">
        <w:rPr>
          <w:sz w:val="22"/>
          <w:szCs w:val="22"/>
        </w:rPr>
        <w:t xml:space="preserve">Danach wird zwischen </w:t>
      </w:r>
      <w:r w:rsidR="00375D6B">
        <w:rPr>
          <w:sz w:val="22"/>
          <w:szCs w:val="22"/>
        </w:rPr>
        <w:t xml:space="preserve">Kürzungen und </w:t>
      </w:r>
      <w:r w:rsidRPr="00375D6B">
        <w:rPr>
          <w:sz w:val="22"/>
          <w:szCs w:val="22"/>
        </w:rPr>
        <w:t xml:space="preserve">Sanktionen </w:t>
      </w:r>
      <w:r w:rsidR="00836194" w:rsidRPr="00375D6B">
        <w:rPr>
          <w:sz w:val="22"/>
          <w:szCs w:val="22"/>
        </w:rPr>
        <w:t xml:space="preserve">aufgrund </w:t>
      </w:r>
      <w:r w:rsidRPr="00375D6B">
        <w:rPr>
          <w:sz w:val="22"/>
          <w:szCs w:val="22"/>
        </w:rPr>
        <w:t xml:space="preserve">von Verstößen gegen die </w:t>
      </w:r>
      <w:r w:rsidRPr="003E05F6">
        <w:rPr>
          <w:sz w:val="22"/>
          <w:szCs w:val="22"/>
        </w:rPr>
        <w:t>Förderfähigkeitsregeln</w:t>
      </w:r>
      <w:r w:rsidR="00836194" w:rsidRPr="00375D6B">
        <w:rPr>
          <w:sz w:val="22"/>
          <w:szCs w:val="22"/>
        </w:rPr>
        <w:t xml:space="preserve"> </w:t>
      </w:r>
      <w:r w:rsidR="002568DC">
        <w:rPr>
          <w:sz w:val="22"/>
          <w:szCs w:val="22"/>
        </w:rPr>
        <w:t xml:space="preserve">(Förderfähigkeit von zur Erstattung beantragter Kosten) </w:t>
      </w:r>
      <w:r w:rsidR="00836194" w:rsidRPr="00375D6B">
        <w:rPr>
          <w:sz w:val="22"/>
          <w:szCs w:val="22"/>
        </w:rPr>
        <w:t xml:space="preserve">und </w:t>
      </w:r>
      <w:r w:rsidR="00375D6B">
        <w:rPr>
          <w:sz w:val="22"/>
          <w:szCs w:val="22"/>
        </w:rPr>
        <w:t xml:space="preserve">Sanktionen aufgrund von </w:t>
      </w:r>
      <w:r w:rsidR="00836194" w:rsidRPr="00375D6B">
        <w:rPr>
          <w:sz w:val="22"/>
          <w:szCs w:val="22"/>
        </w:rPr>
        <w:t>Verst</w:t>
      </w:r>
      <w:r w:rsidR="00836194" w:rsidRPr="00375D6B">
        <w:rPr>
          <w:sz w:val="22"/>
          <w:szCs w:val="22"/>
        </w:rPr>
        <w:t>ö</w:t>
      </w:r>
      <w:r w:rsidR="00836194" w:rsidRPr="00375D6B">
        <w:rPr>
          <w:sz w:val="22"/>
          <w:szCs w:val="22"/>
        </w:rPr>
        <w:t xml:space="preserve">ßen gegen die Förderkriterien, Verpflichtungen und Auflagen unterschieden. </w:t>
      </w:r>
    </w:p>
    <w:p w:rsidR="008B4F75" w:rsidRDefault="008B4F75" w:rsidP="007E3A8C">
      <w:pPr>
        <w:pStyle w:val="Anschrift"/>
        <w:spacing w:before="120"/>
        <w:jc w:val="both"/>
        <w:rPr>
          <w:sz w:val="22"/>
          <w:szCs w:val="22"/>
        </w:rPr>
      </w:pPr>
      <w:r>
        <w:rPr>
          <w:sz w:val="22"/>
          <w:szCs w:val="22"/>
        </w:rPr>
        <w:t xml:space="preserve">Darüber hinaus enthält Art. 59 Abs. 7 </w:t>
      </w:r>
      <w:r w:rsidR="007E3A8C">
        <w:rPr>
          <w:sz w:val="22"/>
          <w:szCs w:val="22"/>
        </w:rPr>
        <w:t xml:space="preserve">VO (EU) Nr. 1306/2013 </w:t>
      </w:r>
      <w:r>
        <w:rPr>
          <w:sz w:val="22"/>
          <w:szCs w:val="22"/>
        </w:rPr>
        <w:t>eine Spezialregelung für den Fall, dass eine Vor-Ort-Kontrolle durch den Begünstigten verhindert wird. Dies führt zu einer vol</w:t>
      </w:r>
      <w:r>
        <w:rPr>
          <w:sz w:val="22"/>
          <w:szCs w:val="22"/>
        </w:rPr>
        <w:t>l</w:t>
      </w:r>
      <w:r>
        <w:rPr>
          <w:sz w:val="22"/>
          <w:szCs w:val="22"/>
        </w:rPr>
        <w:t>ständigen Ablehnung.</w:t>
      </w:r>
    </w:p>
    <w:p w:rsidR="00D23E5F" w:rsidRDefault="00E31792" w:rsidP="00D23E5F">
      <w:pPr>
        <w:pStyle w:val="Anschrift"/>
        <w:spacing w:before="120"/>
        <w:rPr>
          <w:sz w:val="22"/>
          <w:szCs w:val="22"/>
        </w:rPr>
      </w:pPr>
      <w:r>
        <w:rPr>
          <w:sz w:val="22"/>
          <w:szCs w:val="22"/>
        </w:rPr>
        <w:t>Verwaltungssanktionen sind n</w:t>
      </w:r>
      <w:r w:rsidR="002568DC">
        <w:rPr>
          <w:sz w:val="22"/>
          <w:szCs w:val="22"/>
        </w:rPr>
        <w:t>ach</w:t>
      </w:r>
      <w:r>
        <w:rPr>
          <w:sz w:val="22"/>
          <w:szCs w:val="22"/>
        </w:rPr>
        <w:t xml:space="preserve"> Art. 64 Abs. 2</w:t>
      </w:r>
      <w:r w:rsidR="001F1EE8">
        <w:rPr>
          <w:sz w:val="22"/>
          <w:szCs w:val="22"/>
        </w:rPr>
        <w:t xml:space="preserve"> lit.</w:t>
      </w:r>
      <w:r>
        <w:rPr>
          <w:sz w:val="22"/>
          <w:szCs w:val="22"/>
        </w:rPr>
        <w:t xml:space="preserve"> </w:t>
      </w:r>
      <w:r w:rsidR="00007A0B">
        <w:rPr>
          <w:sz w:val="22"/>
          <w:szCs w:val="22"/>
        </w:rPr>
        <w:t xml:space="preserve">a. – f. </w:t>
      </w:r>
      <w:r>
        <w:rPr>
          <w:sz w:val="22"/>
          <w:szCs w:val="22"/>
        </w:rPr>
        <w:t>VO (EU) Nr. 1306/2013 nicht zu ve</w:t>
      </w:r>
      <w:r>
        <w:rPr>
          <w:sz w:val="22"/>
          <w:szCs w:val="22"/>
        </w:rPr>
        <w:t>r</w:t>
      </w:r>
      <w:r>
        <w:rPr>
          <w:sz w:val="22"/>
          <w:szCs w:val="22"/>
        </w:rPr>
        <w:t>hängen, wenn der Verstoß auf einen der nachfolgenden Ausnahme</w:t>
      </w:r>
      <w:r w:rsidR="00B26A67">
        <w:rPr>
          <w:sz w:val="22"/>
          <w:szCs w:val="22"/>
        </w:rPr>
        <w:t>sachverhalt</w:t>
      </w:r>
      <w:r>
        <w:rPr>
          <w:sz w:val="22"/>
          <w:szCs w:val="22"/>
        </w:rPr>
        <w:t>e zurückzufü</w:t>
      </w:r>
      <w:r>
        <w:rPr>
          <w:sz w:val="22"/>
          <w:szCs w:val="22"/>
        </w:rPr>
        <w:t>h</w:t>
      </w:r>
      <w:r>
        <w:rPr>
          <w:sz w:val="22"/>
          <w:szCs w:val="22"/>
        </w:rPr>
        <w:t>ren ist:</w:t>
      </w:r>
    </w:p>
    <w:p w:rsidR="00D23E5F" w:rsidRPr="00D23E5F" w:rsidRDefault="00D23E5F" w:rsidP="00D23E5F">
      <w:pPr>
        <w:pStyle w:val="Anschrift"/>
        <w:spacing w:before="120"/>
        <w:rPr>
          <w:sz w:val="22"/>
          <w:szCs w:val="22"/>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4"/>
        <w:gridCol w:w="5954"/>
      </w:tblGrid>
      <w:tr w:rsidR="00135EA8" w:rsidRPr="00530494" w:rsidTr="002828A1">
        <w:trPr>
          <w:trHeight w:val="418"/>
        </w:trPr>
        <w:tc>
          <w:tcPr>
            <w:tcW w:w="949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35EA8" w:rsidRPr="00530494" w:rsidRDefault="00135EA8" w:rsidP="00135EA8">
            <w:pPr>
              <w:jc w:val="center"/>
              <w:rPr>
                <w:rFonts w:asciiTheme="minorHAnsi" w:hAnsiTheme="minorHAnsi"/>
                <w:sz w:val="22"/>
                <w:szCs w:val="22"/>
              </w:rPr>
            </w:pPr>
            <w:r>
              <w:rPr>
                <w:rFonts w:asciiTheme="minorHAnsi" w:hAnsiTheme="minorHAnsi"/>
                <w:sz w:val="22"/>
                <w:szCs w:val="22"/>
              </w:rPr>
              <w:t>Sachverhalte, die nach Artikel 64 Abs. 2 VO (EU) Nr. 1306/2013</w:t>
            </w:r>
            <w:r w:rsidR="002568DC">
              <w:rPr>
                <w:rFonts w:asciiTheme="minorHAnsi" w:hAnsiTheme="minorHAnsi"/>
                <w:sz w:val="22"/>
                <w:szCs w:val="22"/>
              </w:rPr>
              <w:t xml:space="preserve"> </w:t>
            </w:r>
            <w:r>
              <w:rPr>
                <w:rFonts w:asciiTheme="minorHAnsi" w:hAnsiTheme="minorHAnsi"/>
                <w:sz w:val="22"/>
                <w:szCs w:val="22"/>
              </w:rPr>
              <w:t>zu keiner Sanktion führen</w:t>
            </w:r>
          </w:p>
        </w:tc>
      </w:tr>
      <w:tr w:rsidR="00135EA8" w:rsidRPr="00CC7AEB" w:rsidTr="00D23E5F">
        <w:trPr>
          <w:trHeight w:val="381"/>
        </w:trPr>
        <w:tc>
          <w:tcPr>
            <w:tcW w:w="35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35EA8" w:rsidRPr="00CC7AEB" w:rsidRDefault="00135EA8" w:rsidP="00E27874">
            <w:pPr>
              <w:jc w:val="center"/>
              <w:rPr>
                <w:rFonts w:asciiTheme="minorHAnsi" w:hAnsiTheme="minorHAnsi"/>
                <w:sz w:val="20"/>
                <w:szCs w:val="20"/>
              </w:rPr>
            </w:pPr>
            <w:r>
              <w:rPr>
                <w:rFonts w:asciiTheme="minorHAnsi" w:hAnsiTheme="minorHAnsi"/>
                <w:sz w:val="20"/>
                <w:szCs w:val="20"/>
              </w:rPr>
              <w:t>Sachverhalt</w:t>
            </w:r>
          </w:p>
        </w:tc>
        <w:tc>
          <w:tcPr>
            <w:tcW w:w="595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35EA8" w:rsidRPr="00CC7AEB" w:rsidRDefault="00135EA8" w:rsidP="00E27874">
            <w:pPr>
              <w:jc w:val="center"/>
              <w:rPr>
                <w:rFonts w:asciiTheme="minorHAnsi" w:hAnsiTheme="minorHAnsi"/>
                <w:sz w:val="20"/>
                <w:szCs w:val="20"/>
              </w:rPr>
            </w:pPr>
            <w:r>
              <w:rPr>
                <w:rFonts w:asciiTheme="minorHAnsi" w:hAnsiTheme="minorHAnsi"/>
                <w:sz w:val="20"/>
                <w:szCs w:val="20"/>
              </w:rPr>
              <w:t>Erläuterungen</w:t>
            </w:r>
            <w:r w:rsidR="0013400A">
              <w:rPr>
                <w:rFonts w:asciiTheme="minorHAnsi" w:hAnsiTheme="minorHAnsi"/>
                <w:sz w:val="20"/>
                <w:szCs w:val="20"/>
              </w:rPr>
              <w:t xml:space="preserve"> zur Rechtsgrundlage</w:t>
            </w:r>
            <w:r>
              <w:rPr>
                <w:rFonts w:asciiTheme="minorHAnsi" w:hAnsiTheme="minorHAnsi"/>
                <w:sz w:val="20"/>
                <w:szCs w:val="20"/>
              </w:rPr>
              <w:t>, Hinweise</w:t>
            </w:r>
          </w:p>
        </w:tc>
      </w:tr>
      <w:tr w:rsidR="00135EA8" w:rsidRPr="00530494" w:rsidTr="007D2DD1">
        <w:trPr>
          <w:trHeight w:val="841"/>
        </w:trPr>
        <w:tc>
          <w:tcPr>
            <w:tcW w:w="3544" w:type="dxa"/>
            <w:tcBorders>
              <w:top w:val="single" w:sz="4" w:space="0" w:color="auto"/>
              <w:left w:val="single" w:sz="4" w:space="0" w:color="auto"/>
              <w:bottom w:val="single" w:sz="4" w:space="0" w:color="auto"/>
              <w:right w:val="single" w:sz="4" w:space="0" w:color="auto"/>
            </w:tcBorders>
          </w:tcPr>
          <w:p w:rsidR="00135EA8" w:rsidRPr="007273E1" w:rsidRDefault="00135EA8" w:rsidP="007273E1">
            <w:pPr>
              <w:pStyle w:val="Listenabsatz"/>
              <w:numPr>
                <w:ilvl w:val="0"/>
                <w:numId w:val="14"/>
              </w:numPr>
              <w:spacing w:before="120"/>
              <w:rPr>
                <w:rFonts w:asciiTheme="minorHAnsi" w:hAnsiTheme="minorHAnsi"/>
                <w:b/>
                <w:sz w:val="22"/>
                <w:szCs w:val="22"/>
              </w:rPr>
            </w:pPr>
            <w:r w:rsidRPr="007273E1">
              <w:rPr>
                <w:rFonts w:asciiTheme="minorHAnsi" w:hAnsiTheme="minorHAnsi"/>
                <w:b/>
                <w:sz w:val="22"/>
                <w:szCs w:val="22"/>
              </w:rPr>
              <w:t>Höhere Gewalt:</w:t>
            </w:r>
          </w:p>
          <w:p w:rsidR="00135EA8" w:rsidRPr="00530494" w:rsidRDefault="00135EA8" w:rsidP="002828A1">
            <w:pPr>
              <w:spacing w:before="60" w:after="60"/>
              <w:rPr>
                <w:rFonts w:asciiTheme="minorHAnsi" w:hAnsiTheme="minorHAnsi"/>
                <w:b/>
                <w:sz w:val="22"/>
                <w:szCs w:val="22"/>
              </w:rPr>
            </w:pPr>
          </w:p>
        </w:tc>
        <w:tc>
          <w:tcPr>
            <w:tcW w:w="5954" w:type="dxa"/>
            <w:tcBorders>
              <w:top w:val="single" w:sz="4" w:space="0" w:color="auto"/>
              <w:left w:val="single" w:sz="4" w:space="0" w:color="auto"/>
              <w:bottom w:val="single" w:sz="4" w:space="0" w:color="auto"/>
              <w:right w:val="single" w:sz="4" w:space="0" w:color="auto"/>
            </w:tcBorders>
          </w:tcPr>
          <w:p w:rsidR="00135EA8" w:rsidRDefault="002568DC" w:rsidP="00E27874">
            <w:pPr>
              <w:spacing w:before="60"/>
              <w:ind w:left="72"/>
              <w:rPr>
                <w:rFonts w:asciiTheme="minorHAnsi" w:hAnsiTheme="minorHAnsi"/>
                <w:sz w:val="20"/>
                <w:szCs w:val="20"/>
              </w:rPr>
            </w:pPr>
            <w:r>
              <w:rPr>
                <w:rFonts w:asciiTheme="minorHAnsi" w:hAnsiTheme="minorHAnsi"/>
                <w:sz w:val="20"/>
                <w:szCs w:val="20"/>
              </w:rPr>
              <w:t>Nach</w:t>
            </w:r>
            <w:r w:rsidR="00E27874">
              <w:rPr>
                <w:rFonts w:asciiTheme="minorHAnsi" w:hAnsiTheme="minorHAnsi"/>
                <w:sz w:val="20"/>
                <w:szCs w:val="20"/>
              </w:rPr>
              <w:t xml:space="preserve"> Art. 4 </w:t>
            </w:r>
            <w:r w:rsidR="00007A0B">
              <w:rPr>
                <w:rFonts w:asciiTheme="minorHAnsi" w:hAnsiTheme="minorHAnsi"/>
                <w:sz w:val="20"/>
                <w:szCs w:val="20"/>
              </w:rPr>
              <w:t xml:space="preserve">Abs. 1 </w:t>
            </w:r>
            <w:r w:rsidR="00E27874">
              <w:rPr>
                <w:rFonts w:asciiTheme="minorHAnsi" w:hAnsiTheme="minorHAnsi"/>
                <w:sz w:val="20"/>
                <w:szCs w:val="20"/>
              </w:rPr>
              <w:t>VO (EU) Nr. 640/2014 ist für den Fall, dass ein B</w:t>
            </w:r>
            <w:r w:rsidR="00E27874">
              <w:rPr>
                <w:rFonts w:asciiTheme="minorHAnsi" w:hAnsiTheme="minorHAnsi"/>
                <w:sz w:val="20"/>
                <w:szCs w:val="20"/>
              </w:rPr>
              <w:t>e</w:t>
            </w:r>
            <w:r w:rsidR="00E27874">
              <w:rPr>
                <w:rFonts w:asciiTheme="minorHAnsi" w:hAnsiTheme="minorHAnsi"/>
                <w:sz w:val="20"/>
                <w:szCs w:val="20"/>
              </w:rPr>
              <w:t xml:space="preserve">günstigter aufgrund </w:t>
            </w:r>
            <w:r w:rsidR="00CC30B0">
              <w:rPr>
                <w:rFonts w:asciiTheme="minorHAnsi" w:hAnsiTheme="minorHAnsi"/>
                <w:sz w:val="20"/>
                <w:szCs w:val="20"/>
                <w:u w:val="single"/>
              </w:rPr>
              <w:t>höherer Gewalt oder</w:t>
            </w:r>
            <w:r w:rsidR="00E27874" w:rsidRPr="00E27874">
              <w:rPr>
                <w:rFonts w:asciiTheme="minorHAnsi" w:hAnsiTheme="minorHAnsi"/>
                <w:sz w:val="20"/>
                <w:szCs w:val="20"/>
                <w:u w:val="single"/>
              </w:rPr>
              <w:t xml:space="preserve"> außergewöhnlicher U</w:t>
            </w:r>
            <w:r w:rsidR="00E27874" w:rsidRPr="00E27874">
              <w:rPr>
                <w:rFonts w:asciiTheme="minorHAnsi" w:hAnsiTheme="minorHAnsi"/>
                <w:sz w:val="20"/>
                <w:szCs w:val="20"/>
                <w:u w:val="single"/>
              </w:rPr>
              <w:t>m</w:t>
            </w:r>
            <w:r w:rsidR="00E27874" w:rsidRPr="00E27874">
              <w:rPr>
                <w:rFonts w:asciiTheme="minorHAnsi" w:hAnsiTheme="minorHAnsi"/>
                <w:sz w:val="20"/>
                <w:szCs w:val="20"/>
                <w:u w:val="single"/>
              </w:rPr>
              <w:t>stände</w:t>
            </w:r>
            <w:r w:rsidR="00E27874">
              <w:rPr>
                <w:rFonts w:asciiTheme="minorHAnsi" w:hAnsiTheme="minorHAnsi"/>
                <w:sz w:val="20"/>
                <w:szCs w:val="20"/>
              </w:rPr>
              <w:t xml:space="preserve"> Förderkriterien oder andere Auflagen nicht erfüllen konnte, bei investiven ELER-Maßnahmen der </w:t>
            </w:r>
            <w:r w:rsidR="001F1EE8">
              <w:rPr>
                <w:rFonts w:asciiTheme="minorHAnsi" w:hAnsiTheme="minorHAnsi"/>
                <w:sz w:val="20"/>
                <w:szCs w:val="20"/>
              </w:rPr>
              <w:t>vollständige</w:t>
            </w:r>
            <w:r w:rsidR="00E27874">
              <w:rPr>
                <w:rFonts w:asciiTheme="minorHAnsi" w:hAnsiTheme="minorHAnsi"/>
                <w:sz w:val="20"/>
                <w:szCs w:val="20"/>
              </w:rPr>
              <w:t xml:space="preserve"> oder teilweise Ve</w:t>
            </w:r>
            <w:r w:rsidR="00E27874">
              <w:rPr>
                <w:rFonts w:asciiTheme="minorHAnsi" w:hAnsiTheme="minorHAnsi"/>
                <w:sz w:val="20"/>
                <w:szCs w:val="20"/>
              </w:rPr>
              <w:t>r</w:t>
            </w:r>
            <w:r w:rsidR="00E27874">
              <w:rPr>
                <w:rFonts w:asciiTheme="minorHAnsi" w:hAnsiTheme="minorHAnsi"/>
                <w:sz w:val="20"/>
                <w:szCs w:val="20"/>
              </w:rPr>
              <w:t>zicht auf die Rückzahlung der Förderung vorgesehen.</w:t>
            </w:r>
            <w:r w:rsidR="00007A0B">
              <w:rPr>
                <w:rFonts w:asciiTheme="minorHAnsi" w:hAnsiTheme="minorHAnsi"/>
                <w:sz w:val="20"/>
                <w:szCs w:val="20"/>
              </w:rPr>
              <w:t xml:space="preserve"> Derartige E</w:t>
            </w:r>
            <w:r w:rsidR="00007A0B">
              <w:rPr>
                <w:rFonts w:asciiTheme="minorHAnsi" w:hAnsiTheme="minorHAnsi"/>
                <w:sz w:val="20"/>
                <w:szCs w:val="20"/>
              </w:rPr>
              <w:t>r</w:t>
            </w:r>
            <w:r w:rsidR="00007A0B">
              <w:rPr>
                <w:rFonts w:asciiTheme="minorHAnsi" w:hAnsiTheme="minorHAnsi"/>
                <w:sz w:val="20"/>
                <w:szCs w:val="20"/>
              </w:rPr>
              <w:t>eignisse sind dadurch gekennzeichnet, dass sie vom Begünstigten nicht beeinflussbar und nicht vorhersehbar waren</w:t>
            </w:r>
            <w:r w:rsidR="001F1EE8">
              <w:rPr>
                <w:rFonts w:asciiTheme="minorHAnsi" w:hAnsiTheme="minorHAnsi"/>
                <w:sz w:val="20"/>
                <w:szCs w:val="20"/>
              </w:rPr>
              <w:t xml:space="preserve">. </w:t>
            </w:r>
            <w:r w:rsidR="00B02EBC">
              <w:rPr>
                <w:rFonts w:asciiTheme="minorHAnsi" w:hAnsiTheme="minorHAnsi"/>
                <w:sz w:val="20"/>
                <w:szCs w:val="20"/>
              </w:rPr>
              <w:t>Da in Fällen höh</w:t>
            </w:r>
            <w:r w:rsidR="00B02EBC">
              <w:rPr>
                <w:rFonts w:asciiTheme="minorHAnsi" w:hAnsiTheme="minorHAnsi"/>
                <w:sz w:val="20"/>
                <w:szCs w:val="20"/>
              </w:rPr>
              <w:t>e</w:t>
            </w:r>
            <w:r w:rsidR="00B02EBC">
              <w:rPr>
                <w:rFonts w:asciiTheme="minorHAnsi" w:hAnsiTheme="minorHAnsi"/>
                <w:sz w:val="20"/>
                <w:szCs w:val="20"/>
              </w:rPr>
              <w:t>rer Gewalt per se das Verschulden des Begünstigten ausgeschlossen ist, bildet der Ausnahmetatbestand „Höhere Gewalt“ systematisch auch einen Unterfall zu demjenigen nach Art. 64 Abs. 2 lit. d).</w:t>
            </w:r>
          </w:p>
          <w:p w:rsidR="00007A0B" w:rsidRDefault="00007A0B" w:rsidP="00E27874">
            <w:pPr>
              <w:spacing w:before="60"/>
              <w:ind w:left="72"/>
              <w:rPr>
                <w:rFonts w:asciiTheme="minorHAnsi" w:hAnsiTheme="minorHAnsi"/>
                <w:sz w:val="20"/>
                <w:szCs w:val="20"/>
              </w:rPr>
            </w:pPr>
            <w:r>
              <w:rPr>
                <w:rFonts w:asciiTheme="minorHAnsi" w:hAnsiTheme="minorHAnsi"/>
                <w:sz w:val="20"/>
                <w:szCs w:val="20"/>
              </w:rPr>
              <w:t xml:space="preserve">Fälle höherer Gewalt </w:t>
            </w:r>
            <w:r w:rsidR="00797136">
              <w:rPr>
                <w:rFonts w:asciiTheme="minorHAnsi" w:hAnsiTheme="minorHAnsi"/>
                <w:sz w:val="20"/>
                <w:szCs w:val="20"/>
              </w:rPr>
              <w:t>oder</w:t>
            </w:r>
            <w:r>
              <w:rPr>
                <w:rFonts w:asciiTheme="minorHAnsi" w:hAnsiTheme="minorHAnsi"/>
                <w:sz w:val="20"/>
                <w:szCs w:val="20"/>
              </w:rPr>
              <w:t xml:space="preserve"> außergewöhnlicher Umstände sind </w:t>
            </w:r>
            <w:r w:rsidR="001F1EE8">
              <w:rPr>
                <w:rFonts w:asciiTheme="minorHAnsi" w:hAnsiTheme="minorHAnsi"/>
                <w:sz w:val="20"/>
                <w:szCs w:val="20"/>
              </w:rPr>
              <w:t>insb</w:t>
            </w:r>
            <w:r w:rsidR="001F1EE8">
              <w:rPr>
                <w:rFonts w:asciiTheme="minorHAnsi" w:hAnsiTheme="minorHAnsi"/>
                <w:sz w:val="20"/>
                <w:szCs w:val="20"/>
              </w:rPr>
              <w:t>e</w:t>
            </w:r>
            <w:r w:rsidR="001F1EE8">
              <w:rPr>
                <w:rFonts w:asciiTheme="minorHAnsi" w:hAnsiTheme="minorHAnsi"/>
                <w:sz w:val="20"/>
                <w:szCs w:val="20"/>
              </w:rPr>
              <w:t>sondere</w:t>
            </w:r>
            <w:r>
              <w:rPr>
                <w:rFonts w:asciiTheme="minorHAnsi" w:hAnsiTheme="minorHAnsi"/>
                <w:sz w:val="20"/>
                <w:szCs w:val="20"/>
              </w:rPr>
              <w:t>:</w:t>
            </w:r>
          </w:p>
          <w:p w:rsidR="001F1EE8" w:rsidRDefault="001F1EE8" w:rsidP="001F1EE8">
            <w:pPr>
              <w:pStyle w:val="Listenabsatz"/>
              <w:numPr>
                <w:ilvl w:val="0"/>
                <w:numId w:val="15"/>
              </w:numPr>
              <w:spacing w:before="60"/>
              <w:rPr>
                <w:rFonts w:asciiTheme="minorHAnsi" w:hAnsiTheme="minorHAnsi"/>
                <w:sz w:val="20"/>
                <w:szCs w:val="20"/>
              </w:rPr>
            </w:pPr>
            <w:r>
              <w:rPr>
                <w:rFonts w:asciiTheme="minorHAnsi" w:hAnsiTheme="minorHAnsi"/>
                <w:sz w:val="20"/>
                <w:szCs w:val="20"/>
              </w:rPr>
              <w:t>Tod des Begünstigten</w:t>
            </w:r>
          </w:p>
          <w:p w:rsidR="001F1EE8" w:rsidRPr="00007A0B" w:rsidRDefault="001F1EE8" w:rsidP="001F1EE8">
            <w:pPr>
              <w:pStyle w:val="Listenabsatz"/>
              <w:numPr>
                <w:ilvl w:val="0"/>
                <w:numId w:val="15"/>
              </w:numPr>
              <w:spacing w:before="60"/>
              <w:rPr>
                <w:rFonts w:asciiTheme="minorHAnsi" w:hAnsiTheme="minorHAnsi"/>
                <w:sz w:val="20"/>
                <w:szCs w:val="20"/>
              </w:rPr>
            </w:pPr>
            <w:r>
              <w:rPr>
                <w:rFonts w:asciiTheme="minorHAnsi" w:hAnsiTheme="minorHAnsi"/>
                <w:sz w:val="20"/>
                <w:szCs w:val="20"/>
              </w:rPr>
              <w:lastRenderedPageBreak/>
              <w:t>Länger andauernde Berufsunfähigkeit des Begünstigten</w:t>
            </w:r>
          </w:p>
          <w:p w:rsidR="00007A0B" w:rsidRPr="00007A0B" w:rsidRDefault="00007A0B" w:rsidP="00007A0B">
            <w:pPr>
              <w:pStyle w:val="Listenabsatz"/>
              <w:numPr>
                <w:ilvl w:val="0"/>
                <w:numId w:val="15"/>
              </w:numPr>
              <w:spacing w:before="60"/>
              <w:rPr>
                <w:rFonts w:asciiTheme="minorHAnsi" w:hAnsiTheme="minorHAnsi"/>
                <w:sz w:val="20"/>
                <w:szCs w:val="20"/>
              </w:rPr>
            </w:pPr>
            <w:r w:rsidRPr="00007A0B">
              <w:rPr>
                <w:rFonts w:asciiTheme="minorHAnsi" w:hAnsiTheme="minorHAnsi"/>
                <w:sz w:val="20"/>
                <w:szCs w:val="20"/>
              </w:rPr>
              <w:t>Schwere Naturkatastrophe</w:t>
            </w:r>
            <w:r w:rsidR="001F1EE8">
              <w:rPr>
                <w:rFonts w:asciiTheme="minorHAnsi" w:hAnsiTheme="minorHAnsi"/>
                <w:sz w:val="20"/>
                <w:szCs w:val="20"/>
              </w:rPr>
              <w:t>, die den Betrieb des Begünsti</w:t>
            </w:r>
            <w:r w:rsidR="001F1EE8">
              <w:rPr>
                <w:rFonts w:asciiTheme="minorHAnsi" w:hAnsiTheme="minorHAnsi"/>
                <w:sz w:val="20"/>
                <w:szCs w:val="20"/>
              </w:rPr>
              <w:t>g</w:t>
            </w:r>
            <w:r w:rsidR="001F1EE8">
              <w:rPr>
                <w:rFonts w:asciiTheme="minorHAnsi" w:hAnsiTheme="minorHAnsi"/>
                <w:sz w:val="20"/>
                <w:szCs w:val="20"/>
              </w:rPr>
              <w:t xml:space="preserve">ten erheblich in Mitleidenschaft zieht </w:t>
            </w:r>
          </w:p>
          <w:p w:rsidR="00007A0B" w:rsidRDefault="00007A0B" w:rsidP="00007A0B">
            <w:pPr>
              <w:pStyle w:val="Listenabsatz"/>
              <w:numPr>
                <w:ilvl w:val="0"/>
                <w:numId w:val="15"/>
              </w:numPr>
              <w:spacing w:before="60"/>
              <w:rPr>
                <w:rFonts w:asciiTheme="minorHAnsi" w:hAnsiTheme="minorHAnsi"/>
                <w:sz w:val="20"/>
                <w:szCs w:val="20"/>
              </w:rPr>
            </w:pPr>
            <w:r w:rsidRPr="00007A0B">
              <w:rPr>
                <w:rFonts w:asciiTheme="minorHAnsi" w:hAnsiTheme="minorHAnsi"/>
                <w:sz w:val="20"/>
                <w:szCs w:val="20"/>
              </w:rPr>
              <w:t>Unfallbedi</w:t>
            </w:r>
            <w:r w:rsidR="001F1EE8">
              <w:rPr>
                <w:rFonts w:asciiTheme="minorHAnsi" w:hAnsiTheme="minorHAnsi"/>
                <w:sz w:val="20"/>
                <w:szCs w:val="20"/>
              </w:rPr>
              <w:t xml:space="preserve">ngte Zerstörung von </w:t>
            </w:r>
            <w:r w:rsidRPr="00007A0B">
              <w:rPr>
                <w:rFonts w:asciiTheme="minorHAnsi" w:hAnsiTheme="minorHAnsi"/>
                <w:sz w:val="20"/>
                <w:szCs w:val="20"/>
              </w:rPr>
              <w:t>Gebäuden/-teilen</w:t>
            </w:r>
            <w:r w:rsidR="001F1EE8">
              <w:rPr>
                <w:rFonts w:asciiTheme="minorHAnsi" w:hAnsiTheme="minorHAnsi"/>
                <w:sz w:val="20"/>
                <w:szCs w:val="20"/>
              </w:rPr>
              <w:t xml:space="preserve"> des B</w:t>
            </w:r>
            <w:r w:rsidR="001F1EE8">
              <w:rPr>
                <w:rFonts w:asciiTheme="minorHAnsi" w:hAnsiTheme="minorHAnsi"/>
                <w:sz w:val="20"/>
                <w:szCs w:val="20"/>
              </w:rPr>
              <w:t>e</w:t>
            </w:r>
            <w:r w:rsidR="001F1EE8">
              <w:rPr>
                <w:rFonts w:asciiTheme="minorHAnsi" w:hAnsiTheme="minorHAnsi"/>
                <w:sz w:val="20"/>
                <w:szCs w:val="20"/>
              </w:rPr>
              <w:t>günstigten</w:t>
            </w:r>
          </w:p>
          <w:p w:rsidR="00007A0B" w:rsidRDefault="001F1EE8" w:rsidP="00007A0B">
            <w:pPr>
              <w:pStyle w:val="Listenabsatz"/>
              <w:numPr>
                <w:ilvl w:val="0"/>
                <w:numId w:val="15"/>
              </w:numPr>
              <w:spacing w:before="60"/>
              <w:rPr>
                <w:rFonts w:asciiTheme="minorHAnsi" w:hAnsiTheme="minorHAnsi"/>
                <w:sz w:val="20"/>
                <w:szCs w:val="20"/>
              </w:rPr>
            </w:pPr>
            <w:r>
              <w:rPr>
                <w:rFonts w:asciiTheme="minorHAnsi" w:hAnsiTheme="minorHAnsi"/>
                <w:sz w:val="20"/>
                <w:szCs w:val="20"/>
              </w:rPr>
              <w:t xml:space="preserve">Schwerer </w:t>
            </w:r>
            <w:r w:rsidR="00007A0B">
              <w:rPr>
                <w:rFonts w:asciiTheme="minorHAnsi" w:hAnsiTheme="minorHAnsi"/>
                <w:sz w:val="20"/>
                <w:szCs w:val="20"/>
              </w:rPr>
              <w:t>Umweltvorfall</w:t>
            </w:r>
          </w:p>
          <w:p w:rsidR="00D23E5F" w:rsidRDefault="00D23E5F" w:rsidP="00007A0B">
            <w:pPr>
              <w:spacing w:before="60"/>
              <w:ind w:left="72"/>
              <w:rPr>
                <w:rFonts w:asciiTheme="minorHAnsi" w:hAnsiTheme="minorHAnsi"/>
                <w:b/>
                <w:sz w:val="20"/>
                <w:szCs w:val="20"/>
              </w:rPr>
            </w:pPr>
          </w:p>
          <w:p w:rsidR="002828A1" w:rsidRDefault="00007A0B" w:rsidP="00007A0B">
            <w:pPr>
              <w:spacing w:before="60"/>
              <w:ind w:left="72"/>
              <w:rPr>
                <w:rFonts w:asciiTheme="minorHAnsi" w:hAnsiTheme="minorHAnsi"/>
                <w:sz w:val="20"/>
                <w:szCs w:val="20"/>
              </w:rPr>
            </w:pPr>
            <w:r w:rsidRPr="002828A1">
              <w:rPr>
                <w:rFonts w:asciiTheme="minorHAnsi" w:hAnsiTheme="minorHAnsi"/>
                <w:b/>
                <w:sz w:val="20"/>
                <w:szCs w:val="20"/>
              </w:rPr>
              <w:t>Frist zur Geltendmachung</w:t>
            </w:r>
            <w:r>
              <w:rPr>
                <w:rFonts w:asciiTheme="minorHAnsi" w:hAnsiTheme="minorHAnsi"/>
                <w:sz w:val="20"/>
                <w:szCs w:val="20"/>
              </w:rPr>
              <w:t xml:space="preserve"> n</w:t>
            </w:r>
            <w:r w:rsidR="00A228C4">
              <w:rPr>
                <w:rFonts w:asciiTheme="minorHAnsi" w:hAnsiTheme="minorHAnsi"/>
                <w:sz w:val="20"/>
                <w:szCs w:val="20"/>
              </w:rPr>
              <w:t>ach</w:t>
            </w:r>
            <w:r>
              <w:rPr>
                <w:rFonts w:asciiTheme="minorHAnsi" w:hAnsiTheme="minorHAnsi"/>
                <w:sz w:val="20"/>
                <w:szCs w:val="20"/>
              </w:rPr>
              <w:t xml:space="preserve"> Art. 4 Abs. 2 VO (EU) Nr. 640/2014: </w:t>
            </w:r>
          </w:p>
          <w:p w:rsidR="00007A0B" w:rsidRDefault="002828A1" w:rsidP="007D2DD1">
            <w:pPr>
              <w:spacing w:after="60"/>
              <w:ind w:left="72"/>
              <w:rPr>
                <w:rFonts w:asciiTheme="minorHAnsi" w:hAnsiTheme="minorHAnsi"/>
                <w:sz w:val="20"/>
                <w:szCs w:val="20"/>
              </w:rPr>
            </w:pPr>
            <w:r>
              <w:rPr>
                <w:rFonts w:asciiTheme="minorHAnsi" w:hAnsiTheme="minorHAnsi"/>
                <w:sz w:val="20"/>
                <w:szCs w:val="20"/>
              </w:rPr>
              <w:t xml:space="preserve">Innerhalb von </w:t>
            </w:r>
            <w:r w:rsidRPr="002828A1">
              <w:rPr>
                <w:rFonts w:asciiTheme="minorHAnsi" w:hAnsiTheme="minorHAnsi"/>
                <w:b/>
                <w:sz w:val="20"/>
                <w:szCs w:val="20"/>
              </w:rPr>
              <w:t>15 Arbeitstagen</w:t>
            </w:r>
            <w:r>
              <w:rPr>
                <w:rFonts w:asciiTheme="minorHAnsi" w:hAnsiTheme="minorHAnsi"/>
                <w:sz w:val="20"/>
                <w:szCs w:val="20"/>
              </w:rPr>
              <w:t xml:space="preserve"> ab dem Zeitpunkt, ab dem der B</w:t>
            </w:r>
            <w:r>
              <w:rPr>
                <w:rFonts w:asciiTheme="minorHAnsi" w:hAnsiTheme="minorHAnsi"/>
                <w:sz w:val="20"/>
                <w:szCs w:val="20"/>
              </w:rPr>
              <w:t>e</w:t>
            </w:r>
            <w:r>
              <w:rPr>
                <w:rFonts w:asciiTheme="minorHAnsi" w:hAnsiTheme="minorHAnsi"/>
                <w:sz w:val="20"/>
                <w:szCs w:val="20"/>
              </w:rPr>
              <w:t xml:space="preserve">günstigte zu einer schriftlichen Mitteilung in der Lage ist. </w:t>
            </w:r>
          </w:p>
          <w:p w:rsidR="00AC1E5F" w:rsidRPr="00E27874" w:rsidRDefault="00AC1E5F" w:rsidP="00AC1E5F">
            <w:pPr>
              <w:spacing w:after="60"/>
              <w:ind w:left="72"/>
              <w:rPr>
                <w:rFonts w:asciiTheme="minorHAnsi" w:hAnsiTheme="minorHAnsi"/>
                <w:sz w:val="20"/>
                <w:szCs w:val="20"/>
              </w:rPr>
            </w:pPr>
            <w:r>
              <w:rPr>
                <w:rFonts w:asciiTheme="minorHAnsi" w:hAnsiTheme="minorHAnsi"/>
                <w:sz w:val="20"/>
                <w:szCs w:val="20"/>
              </w:rPr>
              <w:t xml:space="preserve">Im Falle höherer Gewalt ist </w:t>
            </w:r>
            <w:r w:rsidRPr="00AC1E5F">
              <w:rPr>
                <w:rFonts w:asciiTheme="minorHAnsi" w:hAnsiTheme="minorHAnsi"/>
                <w:sz w:val="20"/>
                <w:szCs w:val="20"/>
                <w:u w:val="single"/>
              </w:rPr>
              <w:t>keine Verwaltungssanktion</w:t>
            </w:r>
            <w:r>
              <w:rPr>
                <w:rFonts w:asciiTheme="minorHAnsi" w:hAnsiTheme="minorHAnsi"/>
                <w:sz w:val="20"/>
                <w:szCs w:val="20"/>
              </w:rPr>
              <w:t xml:space="preserve"> auszuspr</w:t>
            </w:r>
            <w:r>
              <w:rPr>
                <w:rFonts w:asciiTheme="minorHAnsi" w:hAnsiTheme="minorHAnsi"/>
                <w:sz w:val="20"/>
                <w:szCs w:val="20"/>
              </w:rPr>
              <w:t>e</w:t>
            </w:r>
            <w:r>
              <w:rPr>
                <w:rFonts w:asciiTheme="minorHAnsi" w:hAnsiTheme="minorHAnsi"/>
                <w:sz w:val="20"/>
                <w:szCs w:val="20"/>
              </w:rPr>
              <w:t>chen.</w:t>
            </w:r>
          </w:p>
        </w:tc>
      </w:tr>
      <w:tr w:rsidR="00135EA8" w:rsidRPr="00530494" w:rsidTr="00E27874">
        <w:tc>
          <w:tcPr>
            <w:tcW w:w="3544" w:type="dxa"/>
            <w:tcBorders>
              <w:top w:val="single" w:sz="4" w:space="0" w:color="auto"/>
              <w:left w:val="single" w:sz="4" w:space="0" w:color="auto"/>
              <w:bottom w:val="single" w:sz="4" w:space="0" w:color="auto"/>
              <w:right w:val="single" w:sz="4" w:space="0" w:color="auto"/>
            </w:tcBorders>
          </w:tcPr>
          <w:p w:rsidR="00135EA8" w:rsidRPr="002828A1" w:rsidRDefault="00007A0B" w:rsidP="00007A0B">
            <w:pPr>
              <w:pStyle w:val="Listenabsatz"/>
              <w:numPr>
                <w:ilvl w:val="0"/>
                <w:numId w:val="14"/>
              </w:numPr>
              <w:spacing w:before="60"/>
              <w:rPr>
                <w:rFonts w:asciiTheme="minorHAnsi" w:hAnsiTheme="minorHAnsi"/>
                <w:b/>
                <w:sz w:val="22"/>
                <w:szCs w:val="22"/>
              </w:rPr>
            </w:pPr>
            <w:r w:rsidRPr="002828A1">
              <w:rPr>
                <w:rFonts w:asciiTheme="minorHAnsi" w:hAnsiTheme="minorHAnsi"/>
                <w:b/>
                <w:sz w:val="22"/>
                <w:szCs w:val="22"/>
              </w:rPr>
              <w:lastRenderedPageBreak/>
              <w:t>Offensichtlicher Irrtum:</w:t>
            </w:r>
          </w:p>
        </w:tc>
        <w:tc>
          <w:tcPr>
            <w:tcW w:w="5954" w:type="dxa"/>
            <w:tcBorders>
              <w:top w:val="single" w:sz="4" w:space="0" w:color="auto"/>
              <w:left w:val="single" w:sz="4" w:space="0" w:color="auto"/>
              <w:bottom w:val="single" w:sz="4" w:space="0" w:color="auto"/>
              <w:right w:val="single" w:sz="4" w:space="0" w:color="auto"/>
            </w:tcBorders>
          </w:tcPr>
          <w:p w:rsidR="00135EA8" w:rsidRDefault="002828A1" w:rsidP="00B10A3B">
            <w:pPr>
              <w:spacing w:before="60"/>
              <w:rPr>
                <w:rFonts w:asciiTheme="minorHAnsi" w:hAnsiTheme="minorHAnsi"/>
                <w:sz w:val="20"/>
                <w:szCs w:val="20"/>
              </w:rPr>
            </w:pPr>
            <w:r>
              <w:rPr>
                <w:rFonts w:asciiTheme="minorHAnsi" w:hAnsiTheme="minorHAnsi"/>
                <w:sz w:val="20"/>
                <w:szCs w:val="20"/>
              </w:rPr>
              <w:t>N</w:t>
            </w:r>
            <w:r w:rsidR="00A228C4">
              <w:rPr>
                <w:rFonts w:asciiTheme="minorHAnsi" w:hAnsiTheme="minorHAnsi"/>
                <w:sz w:val="20"/>
                <w:szCs w:val="20"/>
              </w:rPr>
              <w:t>ach</w:t>
            </w:r>
            <w:r>
              <w:rPr>
                <w:rFonts w:asciiTheme="minorHAnsi" w:hAnsiTheme="minorHAnsi"/>
                <w:sz w:val="20"/>
                <w:szCs w:val="20"/>
              </w:rPr>
              <w:t xml:space="preserve"> Art. 4 VO (EU) Nr. 809/2014 können Förder- und Zahlungsantr</w:t>
            </w:r>
            <w:r>
              <w:rPr>
                <w:rFonts w:asciiTheme="minorHAnsi" w:hAnsiTheme="minorHAnsi"/>
                <w:sz w:val="20"/>
                <w:szCs w:val="20"/>
              </w:rPr>
              <w:t>ä</w:t>
            </w:r>
            <w:r>
              <w:rPr>
                <w:rFonts w:asciiTheme="minorHAnsi" w:hAnsiTheme="minorHAnsi"/>
                <w:sz w:val="20"/>
                <w:szCs w:val="20"/>
              </w:rPr>
              <w:t>ge jederzeit nach ihrer Einreichung berichtigt werden, wenn die Bewi</w:t>
            </w:r>
            <w:r>
              <w:rPr>
                <w:rFonts w:asciiTheme="minorHAnsi" w:hAnsiTheme="minorHAnsi"/>
                <w:sz w:val="20"/>
                <w:szCs w:val="20"/>
              </w:rPr>
              <w:t>l</w:t>
            </w:r>
            <w:r>
              <w:rPr>
                <w:rFonts w:asciiTheme="minorHAnsi" w:hAnsiTheme="minorHAnsi"/>
                <w:sz w:val="20"/>
                <w:szCs w:val="20"/>
              </w:rPr>
              <w:t xml:space="preserve">ligungsbehörde </w:t>
            </w:r>
            <w:r w:rsidRPr="001F1065">
              <w:rPr>
                <w:rFonts w:asciiTheme="minorHAnsi" w:hAnsiTheme="minorHAnsi"/>
                <w:sz w:val="20"/>
                <w:szCs w:val="20"/>
                <w:u w:val="single"/>
              </w:rPr>
              <w:t>offensichtliche Irrtümer/Fehler</w:t>
            </w:r>
            <w:r>
              <w:rPr>
                <w:rFonts w:asciiTheme="minorHAnsi" w:hAnsiTheme="minorHAnsi"/>
                <w:sz w:val="20"/>
                <w:szCs w:val="20"/>
              </w:rPr>
              <w:t xml:space="preserve"> anerkennt. Vorgänge sind dann als offensichtlicher Irrtum bzw. Fehler einzustufen, wenn die Fehlerhaftigkeit der Angabe klar erkennbar ist. Die Bewilligung</w:t>
            </w:r>
            <w:r>
              <w:rPr>
                <w:rFonts w:asciiTheme="minorHAnsi" w:hAnsiTheme="minorHAnsi"/>
                <w:sz w:val="20"/>
                <w:szCs w:val="20"/>
              </w:rPr>
              <w:t>s</w:t>
            </w:r>
            <w:r>
              <w:rPr>
                <w:rFonts w:asciiTheme="minorHAnsi" w:hAnsiTheme="minorHAnsi"/>
                <w:sz w:val="20"/>
                <w:szCs w:val="20"/>
              </w:rPr>
              <w:t>behörde muss überzeugt sein, dass der Begünstigte gutgläubig und ohne Bereicherungs- bzw. Betrugsabsicht gehandelt hat. Sofern b</w:t>
            </w:r>
            <w:r>
              <w:rPr>
                <w:rFonts w:asciiTheme="minorHAnsi" w:hAnsiTheme="minorHAnsi"/>
                <w:sz w:val="20"/>
                <w:szCs w:val="20"/>
              </w:rPr>
              <w:t>e</w:t>
            </w:r>
            <w:r>
              <w:rPr>
                <w:rFonts w:asciiTheme="minorHAnsi" w:hAnsiTheme="minorHAnsi"/>
                <w:sz w:val="20"/>
                <w:szCs w:val="20"/>
              </w:rPr>
              <w:t xml:space="preserve">stimmte </w:t>
            </w:r>
            <w:r w:rsidR="001F1065">
              <w:rPr>
                <w:rFonts w:asciiTheme="minorHAnsi" w:hAnsiTheme="minorHAnsi"/>
                <w:sz w:val="20"/>
                <w:szCs w:val="20"/>
              </w:rPr>
              <w:t xml:space="preserve">oder ähnliche </w:t>
            </w:r>
            <w:r>
              <w:rPr>
                <w:rFonts w:asciiTheme="minorHAnsi" w:hAnsiTheme="minorHAnsi"/>
                <w:sz w:val="20"/>
                <w:szCs w:val="20"/>
              </w:rPr>
              <w:t xml:space="preserve">Fehler wiederholt </w:t>
            </w:r>
            <w:r w:rsidR="001F1065">
              <w:rPr>
                <w:rFonts w:asciiTheme="minorHAnsi" w:hAnsiTheme="minorHAnsi"/>
                <w:sz w:val="20"/>
                <w:szCs w:val="20"/>
              </w:rPr>
              <w:t>auftreten, so kann nicht mehr von einem offensichtlichen Irrtum ausgegangen werden. Offe</w:t>
            </w:r>
            <w:r w:rsidR="001F1065">
              <w:rPr>
                <w:rFonts w:asciiTheme="minorHAnsi" w:hAnsiTheme="minorHAnsi"/>
                <w:sz w:val="20"/>
                <w:szCs w:val="20"/>
              </w:rPr>
              <w:t>n</w:t>
            </w:r>
            <w:r w:rsidR="001F1065">
              <w:rPr>
                <w:rFonts w:asciiTheme="minorHAnsi" w:hAnsiTheme="minorHAnsi"/>
                <w:sz w:val="20"/>
                <w:szCs w:val="20"/>
              </w:rPr>
              <w:t>sichtliche Irrtümer sind sehr eng auszulegen und von der Bewill</w:t>
            </w:r>
            <w:r w:rsidR="001F1065">
              <w:rPr>
                <w:rFonts w:asciiTheme="minorHAnsi" w:hAnsiTheme="minorHAnsi"/>
                <w:sz w:val="20"/>
                <w:szCs w:val="20"/>
              </w:rPr>
              <w:t>i</w:t>
            </w:r>
            <w:r w:rsidR="001F1065">
              <w:rPr>
                <w:rFonts w:asciiTheme="minorHAnsi" w:hAnsiTheme="minorHAnsi"/>
                <w:sz w:val="20"/>
                <w:szCs w:val="20"/>
              </w:rPr>
              <w:t>gungsbehörde anzuerkennen. Fälle sind bspw.:</w:t>
            </w:r>
          </w:p>
          <w:p w:rsidR="001F1065" w:rsidRDefault="001F1065" w:rsidP="00B10A3B">
            <w:pPr>
              <w:pStyle w:val="Listenabsatz"/>
              <w:numPr>
                <w:ilvl w:val="0"/>
                <w:numId w:val="16"/>
              </w:numPr>
              <w:spacing w:after="60"/>
              <w:rPr>
                <w:rFonts w:asciiTheme="minorHAnsi" w:hAnsiTheme="minorHAnsi"/>
                <w:sz w:val="20"/>
                <w:szCs w:val="20"/>
              </w:rPr>
            </w:pPr>
            <w:r>
              <w:rPr>
                <w:rFonts w:asciiTheme="minorHAnsi" w:hAnsiTheme="minorHAnsi"/>
                <w:sz w:val="20"/>
                <w:szCs w:val="20"/>
              </w:rPr>
              <w:t>Schreibfehler</w:t>
            </w:r>
          </w:p>
          <w:p w:rsidR="001F1065" w:rsidRDefault="001F1065" w:rsidP="001F1065">
            <w:pPr>
              <w:pStyle w:val="Listenabsatz"/>
              <w:numPr>
                <w:ilvl w:val="0"/>
                <w:numId w:val="16"/>
              </w:numPr>
              <w:spacing w:before="60" w:after="60"/>
              <w:rPr>
                <w:rFonts w:asciiTheme="minorHAnsi" w:hAnsiTheme="minorHAnsi"/>
                <w:sz w:val="20"/>
                <w:szCs w:val="20"/>
              </w:rPr>
            </w:pPr>
            <w:r>
              <w:rPr>
                <w:rFonts w:asciiTheme="minorHAnsi" w:hAnsiTheme="minorHAnsi"/>
                <w:sz w:val="20"/>
                <w:szCs w:val="20"/>
              </w:rPr>
              <w:t>Zahlendreher</w:t>
            </w:r>
          </w:p>
          <w:p w:rsidR="001F1065" w:rsidRDefault="001F1065" w:rsidP="001F1065">
            <w:pPr>
              <w:pStyle w:val="Listenabsatz"/>
              <w:numPr>
                <w:ilvl w:val="0"/>
                <w:numId w:val="16"/>
              </w:numPr>
              <w:spacing w:before="60" w:after="60"/>
              <w:rPr>
                <w:rFonts w:asciiTheme="minorHAnsi" w:hAnsiTheme="minorHAnsi"/>
                <w:sz w:val="20"/>
                <w:szCs w:val="20"/>
              </w:rPr>
            </w:pPr>
            <w:r>
              <w:rPr>
                <w:rFonts w:asciiTheme="minorHAnsi" w:hAnsiTheme="minorHAnsi"/>
                <w:sz w:val="20"/>
                <w:szCs w:val="20"/>
              </w:rPr>
              <w:t>Fehlende oder widersprüchliche Angabe im selben Formular</w:t>
            </w:r>
          </w:p>
          <w:p w:rsidR="001F1065" w:rsidRDefault="00AC1E5F" w:rsidP="00C31CDC">
            <w:pPr>
              <w:spacing w:before="60" w:after="60"/>
              <w:rPr>
                <w:rFonts w:asciiTheme="minorHAnsi" w:hAnsiTheme="minorHAnsi"/>
                <w:sz w:val="20"/>
                <w:szCs w:val="20"/>
              </w:rPr>
            </w:pPr>
            <w:r>
              <w:rPr>
                <w:rFonts w:asciiTheme="minorHAnsi" w:hAnsiTheme="minorHAnsi"/>
                <w:sz w:val="20"/>
                <w:szCs w:val="20"/>
              </w:rPr>
              <w:t>Ein nicht erfolgter</w:t>
            </w:r>
            <w:r w:rsidR="001F1065">
              <w:rPr>
                <w:rFonts w:asciiTheme="minorHAnsi" w:hAnsiTheme="minorHAnsi"/>
                <w:sz w:val="20"/>
                <w:szCs w:val="20"/>
              </w:rPr>
              <w:t xml:space="preserve"> </w:t>
            </w:r>
            <w:r w:rsidR="00C31CDC">
              <w:rPr>
                <w:rFonts w:asciiTheme="minorHAnsi" w:hAnsiTheme="minorHAnsi"/>
                <w:sz w:val="20"/>
                <w:szCs w:val="20"/>
              </w:rPr>
              <w:t>A</w:t>
            </w:r>
            <w:r w:rsidR="001F1065">
              <w:rPr>
                <w:rFonts w:asciiTheme="minorHAnsi" w:hAnsiTheme="minorHAnsi"/>
                <w:sz w:val="20"/>
                <w:szCs w:val="20"/>
              </w:rPr>
              <w:t xml:space="preserve">bzug </w:t>
            </w:r>
            <w:r w:rsidR="00C31CDC">
              <w:rPr>
                <w:rFonts w:asciiTheme="minorHAnsi" w:hAnsiTheme="minorHAnsi"/>
                <w:sz w:val="20"/>
                <w:szCs w:val="20"/>
              </w:rPr>
              <w:t xml:space="preserve">der nicht förderfähigen Mehrwertsteuer oder von Skonto </w:t>
            </w:r>
            <w:r w:rsidR="001F1065">
              <w:rPr>
                <w:rFonts w:asciiTheme="minorHAnsi" w:hAnsiTheme="minorHAnsi"/>
                <w:sz w:val="20"/>
                <w:szCs w:val="20"/>
              </w:rPr>
              <w:t>g</w:t>
            </w:r>
            <w:r w:rsidR="00C31CDC">
              <w:rPr>
                <w:rFonts w:asciiTheme="minorHAnsi" w:hAnsiTheme="minorHAnsi"/>
                <w:sz w:val="20"/>
                <w:szCs w:val="20"/>
              </w:rPr>
              <w:t>e</w:t>
            </w:r>
            <w:r w:rsidR="001F1065">
              <w:rPr>
                <w:rFonts w:asciiTheme="minorHAnsi" w:hAnsiTheme="minorHAnsi"/>
                <w:sz w:val="20"/>
                <w:szCs w:val="20"/>
              </w:rPr>
              <w:t>lt</w:t>
            </w:r>
            <w:r w:rsidR="00C31CDC">
              <w:rPr>
                <w:rFonts w:asciiTheme="minorHAnsi" w:hAnsiTheme="minorHAnsi"/>
                <w:sz w:val="20"/>
                <w:szCs w:val="20"/>
              </w:rPr>
              <w:t>en</w:t>
            </w:r>
            <w:r w:rsidR="001F1065">
              <w:rPr>
                <w:rFonts w:asciiTheme="minorHAnsi" w:hAnsiTheme="minorHAnsi"/>
                <w:sz w:val="20"/>
                <w:szCs w:val="20"/>
              </w:rPr>
              <w:t xml:space="preserve"> nicht als offensichtlicher Irrtum.</w:t>
            </w:r>
          </w:p>
          <w:p w:rsidR="00AC1E5F" w:rsidRPr="001F1065" w:rsidRDefault="00AC1E5F" w:rsidP="00AC1E5F">
            <w:pPr>
              <w:spacing w:before="60" w:after="60"/>
              <w:rPr>
                <w:rFonts w:asciiTheme="minorHAnsi" w:hAnsiTheme="minorHAnsi"/>
                <w:sz w:val="20"/>
                <w:szCs w:val="20"/>
              </w:rPr>
            </w:pPr>
            <w:r>
              <w:rPr>
                <w:rFonts w:asciiTheme="minorHAnsi" w:hAnsiTheme="minorHAnsi"/>
                <w:sz w:val="20"/>
                <w:szCs w:val="20"/>
              </w:rPr>
              <w:t xml:space="preserve">Sofern ein offensichtlicher Irrtum anerkannt wird, </w:t>
            </w:r>
            <w:r w:rsidRPr="00AC1E5F">
              <w:rPr>
                <w:rFonts w:asciiTheme="minorHAnsi" w:hAnsiTheme="minorHAnsi"/>
                <w:sz w:val="20"/>
                <w:szCs w:val="20"/>
              </w:rPr>
              <w:t xml:space="preserve">ist </w:t>
            </w:r>
            <w:r w:rsidRPr="00AC1E5F">
              <w:rPr>
                <w:rFonts w:asciiTheme="minorHAnsi" w:hAnsiTheme="minorHAnsi"/>
                <w:sz w:val="20"/>
                <w:szCs w:val="20"/>
                <w:u w:val="single"/>
              </w:rPr>
              <w:t>keine Verwa</w:t>
            </w:r>
            <w:r w:rsidRPr="00AC1E5F">
              <w:rPr>
                <w:rFonts w:asciiTheme="minorHAnsi" w:hAnsiTheme="minorHAnsi"/>
                <w:sz w:val="20"/>
                <w:szCs w:val="20"/>
                <w:u w:val="single"/>
              </w:rPr>
              <w:t>l</w:t>
            </w:r>
            <w:r w:rsidRPr="00AC1E5F">
              <w:rPr>
                <w:rFonts w:asciiTheme="minorHAnsi" w:hAnsiTheme="minorHAnsi"/>
                <w:sz w:val="20"/>
                <w:szCs w:val="20"/>
                <w:u w:val="single"/>
              </w:rPr>
              <w:t>tungssanktion</w:t>
            </w:r>
            <w:r w:rsidRPr="00AC1E5F">
              <w:rPr>
                <w:rFonts w:asciiTheme="minorHAnsi" w:hAnsiTheme="minorHAnsi"/>
                <w:sz w:val="20"/>
                <w:szCs w:val="20"/>
              </w:rPr>
              <w:t xml:space="preserve"> auszusprechen.</w:t>
            </w:r>
          </w:p>
        </w:tc>
      </w:tr>
      <w:tr w:rsidR="00135EA8" w:rsidRPr="00530494" w:rsidTr="00E27874">
        <w:trPr>
          <w:trHeight w:val="789"/>
        </w:trPr>
        <w:tc>
          <w:tcPr>
            <w:tcW w:w="3544" w:type="dxa"/>
            <w:tcBorders>
              <w:top w:val="single" w:sz="4" w:space="0" w:color="auto"/>
              <w:left w:val="single" w:sz="4" w:space="0" w:color="auto"/>
              <w:bottom w:val="single" w:sz="4" w:space="0" w:color="auto"/>
              <w:right w:val="single" w:sz="4" w:space="0" w:color="auto"/>
            </w:tcBorders>
          </w:tcPr>
          <w:p w:rsidR="00135EA8" w:rsidRPr="001F1065" w:rsidRDefault="001F1065" w:rsidP="001F1065">
            <w:pPr>
              <w:pStyle w:val="Listenabsatz"/>
              <w:numPr>
                <w:ilvl w:val="0"/>
                <w:numId w:val="14"/>
              </w:numPr>
              <w:spacing w:before="60"/>
              <w:rPr>
                <w:rFonts w:asciiTheme="minorHAnsi" w:hAnsiTheme="minorHAnsi"/>
                <w:b/>
                <w:sz w:val="22"/>
                <w:szCs w:val="22"/>
              </w:rPr>
            </w:pPr>
            <w:r w:rsidRPr="001F1065">
              <w:rPr>
                <w:rFonts w:asciiTheme="minorHAnsi" w:hAnsiTheme="minorHAnsi"/>
                <w:b/>
                <w:sz w:val="22"/>
                <w:szCs w:val="22"/>
              </w:rPr>
              <w:t>Verwaltungsfehler:</w:t>
            </w:r>
          </w:p>
        </w:tc>
        <w:tc>
          <w:tcPr>
            <w:tcW w:w="5954" w:type="dxa"/>
            <w:tcBorders>
              <w:top w:val="single" w:sz="4" w:space="0" w:color="auto"/>
              <w:left w:val="single" w:sz="4" w:space="0" w:color="auto"/>
              <w:bottom w:val="single" w:sz="4" w:space="0" w:color="auto"/>
              <w:right w:val="single" w:sz="4" w:space="0" w:color="auto"/>
            </w:tcBorders>
          </w:tcPr>
          <w:p w:rsidR="00BF4274" w:rsidRDefault="00BF4274" w:rsidP="00A63C70">
            <w:pPr>
              <w:spacing w:before="60" w:after="60"/>
              <w:rPr>
                <w:rFonts w:asciiTheme="minorHAnsi" w:hAnsiTheme="minorHAnsi"/>
                <w:sz w:val="20"/>
                <w:szCs w:val="20"/>
              </w:rPr>
            </w:pPr>
            <w:r>
              <w:rPr>
                <w:rFonts w:asciiTheme="minorHAnsi" w:hAnsiTheme="minorHAnsi"/>
                <w:sz w:val="20"/>
                <w:szCs w:val="20"/>
              </w:rPr>
              <w:t>Sofern der Verstoß nicht auf Versäumnisse oder Unregelmäßigkeiten des Begünstigten, sondern auf fehlerhaftes Handeln der Bewilligung</w:t>
            </w:r>
            <w:r>
              <w:rPr>
                <w:rFonts w:asciiTheme="minorHAnsi" w:hAnsiTheme="minorHAnsi"/>
                <w:sz w:val="20"/>
                <w:szCs w:val="20"/>
              </w:rPr>
              <w:t>s</w:t>
            </w:r>
            <w:r>
              <w:rPr>
                <w:rFonts w:asciiTheme="minorHAnsi" w:hAnsiTheme="minorHAnsi"/>
                <w:sz w:val="20"/>
                <w:szCs w:val="20"/>
              </w:rPr>
              <w:t xml:space="preserve">behörde oder einer anderen Behörde zurückzuführen ist, ist </w:t>
            </w:r>
            <w:r w:rsidRPr="00675B06">
              <w:rPr>
                <w:rFonts w:asciiTheme="minorHAnsi" w:hAnsiTheme="minorHAnsi"/>
                <w:sz w:val="20"/>
                <w:szCs w:val="20"/>
                <w:u w:val="single"/>
              </w:rPr>
              <w:t>keine</w:t>
            </w:r>
            <w:r>
              <w:rPr>
                <w:rFonts w:asciiTheme="minorHAnsi" w:hAnsiTheme="minorHAnsi"/>
                <w:sz w:val="20"/>
                <w:szCs w:val="20"/>
              </w:rPr>
              <w:t xml:space="preserve"> </w:t>
            </w:r>
            <w:r w:rsidRPr="00675B06">
              <w:rPr>
                <w:rFonts w:asciiTheme="minorHAnsi" w:hAnsiTheme="minorHAnsi"/>
                <w:sz w:val="20"/>
                <w:szCs w:val="20"/>
                <w:u w:val="single"/>
              </w:rPr>
              <w:t>verwaltungsrechtliche Sanktion</w:t>
            </w:r>
            <w:r>
              <w:rPr>
                <w:rFonts w:asciiTheme="minorHAnsi" w:hAnsiTheme="minorHAnsi"/>
                <w:sz w:val="20"/>
                <w:szCs w:val="20"/>
              </w:rPr>
              <w:t xml:space="preserve"> auszusprechen. </w:t>
            </w:r>
          </w:p>
          <w:p w:rsidR="00135EA8" w:rsidRPr="00530494" w:rsidRDefault="00675B06" w:rsidP="0013400A">
            <w:pPr>
              <w:spacing w:before="60" w:after="60"/>
              <w:rPr>
                <w:rFonts w:asciiTheme="minorHAnsi" w:hAnsiTheme="minorHAnsi"/>
                <w:sz w:val="20"/>
                <w:szCs w:val="20"/>
              </w:rPr>
            </w:pPr>
            <w:r>
              <w:rPr>
                <w:rFonts w:asciiTheme="minorHAnsi" w:hAnsiTheme="minorHAnsi"/>
                <w:sz w:val="20"/>
                <w:szCs w:val="20"/>
              </w:rPr>
              <w:t>Unabhängig von der Sanktion ist e</w:t>
            </w:r>
            <w:r w:rsidR="00BF4274">
              <w:rPr>
                <w:rFonts w:asciiTheme="minorHAnsi" w:hAnsiTheme="minorHAnsi"/>
                <w:sz w:val="20"/>
                <w:szCs w:val="20"/>
              </w:rPr>
              <w:t xml:space="preserve">in zu Unrecht gezahlter Betrag </w:t>
            </w:r>
            <w:r>
              <w:rPr>
                <w:rFonts w:asciiTheme="minorHAnsi" w:hAnsiTheme="minorHAnsi"/>
                <w:sz w:val="20"/>
                <w:szCs w:val="20"/>
              </w:rPr>
              <w:t xml:space="preserve">(Überzahlung) im Falle eines Verwaltungsfehlers </w:t>
            </w:r>
            <w:r w:rsidR="0013400A">
              <w:rPr>
                <w:rFonts w:asciiTheme="minorHAnsi" w:hAnsiTheme="minorHAnsi"/>
                <w:sz w:val="20"/>
                <w:szCs w:val="20"/>
              </w:rPr>
              <w:t xml:space="preserve">in der Regel </w:t>
            </w:r>
            <w:r>
              <w:rPr>
                <w:rFonts w:asciiTheme="minorHAnsi" w:hAnsiTheme="minorHAnsi"/>
                <w:sz w:val="20"/>
                <w:szCs w:val="20"/>
              </w:rPr>
              <w:t>jedoch zurückzuzah</w:t>
            </w:r>
            <w:r w:rsidR="0013400A">
              <w:rPr>
                <w:rFonts w:asciiTheme="minorHAnsi" w:hAnsiTheme="minorHAnsi"/>
                <w:sz w:val="20"/>
                <w:szCs w:val="20"/>
              </w:rPr>
              <w:t>len.</w:t>
            </w:r>
            <w:r>
              <w:rPr>
                <w:rFonts w:asciiTheme="minorHAnsi" w:hAnsiTheme="minorHAnsi"/>
                <w:sz w:val="20"/>
                <w:szCs w:val="20"/>
              </w:rPr>
              <w:t xml:space="preserve"> </w:t>
            </w:r>
            <w:r w:rsidR="0013400A">
              <w:rPr>
                <w:rFonts w:asciiTheme="minorHAnsi" w:hAnsiTheme="minorHAnsi"/>
                <w:sz w:val="20"/>
                <w:szCs w:val="20"/>
              </w:rPr>
              <w:t xml:space="preserve">Die Rückzahlungsverpflichtung entfällt nur, </w:t>
            </w:r>
            <w:r>
              <w:rPr>
                <w:rFonts w:asciiTheme="minorHAnsi" w:hAnsiTheme="minorHAnsi"/>
                <w:sz w:val="20"/>
                <w:szCs w:val="20"/>
              </w:rPr>
              <w:t xml:space="preserve">wenn </w:t>
            </w:r>
            <w:r w:rsidR="0013400A">
              <w:rPr>
                <w:rFonts w:asciiTheme="minorHAnsi" w:hAnsiTheme="minorHAnsi"/>
                <w:sz w:val="20"/>
                <w:szCs w:val="20"/>
              </w:rPr>
              <w:t xml:space="preserve">der Irrtum für den Begünstigten nicht erkennbar sein konnte oder im Falle eines Tatsachenirrtums </w:t>
            </w:r>
            <w:r>
              <w:rPr>
                <w:rFonts w:asciiTheme="minorHAnsi" w:hAnsiTheme="minorHAnsi"/>
                <w:sz w:val="20"/>
                <w:szCs w:val="20"/>
              </w:rPr>
              <w:t>der Betrag</w:t>
            </w:r>
            <w:r w:rsidR="0013400A">
              <w:rPr>
                <w:rFonts w:asciiTheme="minorHAnsi" w:hAnsiTheme="minorHAnsi"/>
                <w:sz w:val="20"/>
                <w:szCs w:val="20"/>
              </w:rPr>
              <w:t xml:space="preserve"> nicht</w:t>
            </w:r>
            <w:r>
              <w:rPr>
                <w:rFonts w:asciiTheme="minorHAnsi" w:hAnsiTheme="minorHAnsi"/>
                <w:sz w:val="20"/>
                <w:szCs w:val="20"/>
              </w:rPr>
              <w:t xml:space="preserve"> innerhalb der Frist von 12 Monaten zurückgefordert wird. Der finanzielle Fehler ist dann von der Zahlstelle gegenüber der Kommission zu erstatten.</w:t>
            </w:r>
          </w:p>
        </w:tc>
      </w:tr>
      <w:tr w:rsidR="00675B06" w:rsidRPr="00530494" w:rsidTr="00E27874">
        <w:trPr>
          <w:trHeight w:val="789"/>
        </w:trPr>
        <w:tc>
          <w:tcPr>
            <w:tcW w:w="3544" w:type="dxa"/>
            <w:tcBorders>
              <w:top w:val="single" w:sz="4" w:space="0" w:color="auto"/>
              <w:left w:val="single" w:sz="4" w:space="0" w:color="auto"/>
              <w:bottom w:val="single" w:sz="4" w:space="0" w:color="auto"/>
              <w:right w:val="single" w:sz="4" w:space="0" w:color="auto"/>
            </w:tcBorders>
          </w:tcPr>
          <w:p w:rsidR="00675B06" w:rsidRPr="001F1065" w:rsidRDefault="00675B06" w:rsidP="001F1065">
            <w:pPr>
              <w:pStyle w:val="Listenabsatz"/>
              <w:numPr>
                <w:ilvl w:val="0"/>
                <w:numId w:val="14"/>
              </w:numPr>
              <w:spacing w:before="60"/>
              <w:rPr>
                <w:rFonts w:asciiTheme="minorHAnsi" w:hAnsiTheme="minorHAnsi"/>
                <w:b/>
                <w:sz w:val="22"/>
                <w:szCs w:val="22"/>
              </w:rPr>
            </w:pPr>
            <w:r>
              <w:rPr>
                <w:rFonts w:asciiTheme="minorHAnsi" w:hAnsiTheme="minorHAnsi"/>
                <w:b/>
                <w:sz w:val="22"/>
                <w:szCs w:val="22"/>
              </w:rPr>
              <w:t>Nicht-Verschulden des B</w:t>
            </w:r>
            <w:r>
              <w:rPr>
                <w:rFonts w:asciiTheme="minorHAnsi" w:hAnsiTheme="minorHAnsi"/>
                <w:b/>
                <w:sz w:val="22"/>
                <w:szCs w:val="22"/>
              </w:rPr>
              <w:t>e</w:t>
            </w:r>
            <w:r>
              <w:rPr>
                <w:rFonts w:asciiTheme="minorHAnsi" w:hAnsiTheme="minorHAnsi"/>
                <w:b/>
                <w:sz w:val="22"/>
                <w:szCs w:val="22"/>
              </w:rPr>
              <w:t>günstigten</w:t>
            </w:r>
          </w:p>
        </w:tc>
        <w:tc>
          <w:tcPr>
            <w:tcW w:w="5954" w:type="dxa"/>
            <w:tcBorders>
              <w:top w:val="single" w:sz="4" w:space="0" w:color="auto"/>
              <w:left w:val="single" w:sz="4" w:space="0" w:color="auto"/>
              <w:bottom w:val="single" w:sz="4" w:space="0" w:color="auto"/>
              <w:right w:val="single" w:sz="4" w:space="0" w:color="auto"/>
            </w:tcBorders>
          </w:tcPr>
          <w:p w:rsidR="00675B06" w:rsidRDefault="00D972AF" w:rsidP="005828D8">
            <w:pPr>
              <w:spacing w:before="60" w:after="60"/>
              <w:rPr>
                <w:rFonts w:asciiTheme="minorHAnsi" w:hAnsiTheme="minorHAnsi"/>
                <w:sz w:val="20"/>
                <w:szCs w:val="20"/>
              </w:rPr>
            </w:pPr>
            <w:r>
              <w:rPr>
                <w:rFonts w:asciiTheme="minorHAnsi" w:hAnsiTheme="minorHAnsi"/>
                <w:sz w:val="20"/>
                <w:szCs w:val="20"/>
              </w:rPr>
              <w:t>Wenn der Verstoß nicht auf das Verschulden des Begünstigten zurüc</w:t>
            </w:r>
            <w:r>
              <w:rPr>
                <w:rFonts w:asciiTheme="minorHAnsi" w:hAnsiTheme="minorHAnsi"/>
                <w:sz w:val="20"/>
                <w:szCs w:val="20"/>
              </w:rPr>
              <w:t>k</w:t>
            </w:r>
            <w:r>
              <w:rPr>
                <w:rFonts w:asciiTheme="minorHAnsi" w:hAnsiTheme="minorHAnsi"/>
                <w:sz w:val="20"/>
                <w:szCs w:val="20"/>
              </w:rPr>
              <w:t>zuführen ist oder sich die Bewilligungsbehörde auf andere Weise vom Nicht-Verschulden des Begünstigten überzeugt hat</w:t>
            </w:r>
            <w:r w:rsidR="00AC1E5F">
              <w:rPr>
                <w:rFonts w:asciiTheme="minorHAnsi" w:hAnsiTheme="minorHAnsi"/>
                <w:sz w:val="20"/>
                <w:szCs w:val="20"/>
              </w:rPr>
              <w:t xml:space="preserve">, ist </w:t>
            </w:r>
            <w:r w:rsidR="00AC1E5F" w:rsidRPr="00AC1E5F">
              <w:rPr>
                <w:rFonts w:asciiTheme="minorHAnsi" w:hAnsiTheme="minorHAnsi"/>
                <w:sz w:val="20"/>
                <w:szCs w:val="20"/>
                <w:u w:val="single"/>
              </w:rPr>
              <w:t>keine Verwa</w:t>
            </w:r>
            <w:r w:rsidR="00AC1E5F" w:rsidRPr="00AC1E5F">
              <w:rPr>
                <w:rFonts w:asciiTheme="minorHAnsi" w:hAnsiTheme="minorHAnsi"/>
                <w:sz w:val="20"/>
                <w:szCs w:val="20"/>
                <w:u w:val="single"/>
              </w:rPr>
              <w:t>l</w:t>
            </w:r>
            <w:r w:rsidR="00AC1E5F" w:rsidRPr="00AC1E5F">
              <w:rPr>
                <w:rFonts w:asciiTheme="minorHAnsi" w:hAnsiTheme="minorHAnsi"/>
                <w:sz w:val="20"/>
                <w:szCs w:val="20"/>
                <w:u w:val="single"/>
              </w:rPr>
              <w:t>tungssanktion</w:t>
            </w:r>
            <w:r w:rsidR="00AC1E5F">
              <w:rPr>
                <w:rFonts w:asciiTheme="minorHAnsi" w:hAnsiTheme="minorHAnsi"/>
                <w:sz w:val="20"/>
                <w:szCs w:val="20"/>
              </w:rPr>
              <w:t xml:space="preserve"> auszusprechen</w:t>
            </w:r>
            <w:r>
              <w:rPr>
                <w:rFonts w:asciiTheme="minorHAnsi" w:hAnsiTheme="minorHAnsi"/>
                <w:sz w:val="20"/>
                <w:szCs w:val="20"/>
              </w:rPr>
              <w:t xml:space="preserve">. </w:t>
            </w:r>
            <w:r w:rsidR="005828D8">
              <w:rPr>
                <w:rFonts w:asciiTheme="minorHAnsi" w:hAnsiTheme="minorHAnsi"/>
                <w:sz w:val="20"/>
                <w:szCs w:val="20"/>
              </w:rPr>
              <w:t>Die Beweislast für das Nicht-Verschulden liegt beim Begünstigten. Die Umstände, die zum Verstoß führten, dürfen für ihn nicht vorhersehbar und von ihm nicht beei</w:t>
            </w:r>
            <w:r w:rsidR="005828D8">
              <w:rPr>
                <w:rFonts w:asciiTheme="minorHAnsi" w:hAnsiTheme="minorHAnsi"/>
                <w:sz w:val="20"/>
                <w:szCs w:val="20"/>
              </w:rPr>
              <w:t>n</w:t>
            </w:r>
            <w:r w:rsidR="005828D8">
              <w:rPr>
                <w:rFonts w:asciiTheme="minorHAnsi" w:hAnsiTheme="minorHAnsi"/>
                <w:sz w:val="20"/>
                <w:szCs w:val="20"/>
              </w:rPr>
              <w:t>flussbar gewesen sein. Die Entscheidung über die Anerkennung des Sachverhaltes bzw. der Gründe trifft die Bewilligungsbehörde.</w:t>
            </w:r>
          </w:p>
        </w:tc>
      </w:tr>
      <w:tr w:rsidR="005828D8" w:rsidRPr="00530494" w:rsidTr="00C31CDC">
        <w:trPr>
          <w:trHeight w:val="274"/>
        </w:trPr>
        <w:tc>
          <w:tcPr>
            <w:tcW w:w="3544" w:type="dxa"/>
            <w:tcBorders>
              <w:top w:val="single" w:sz="4" w:space="0" w:color="auto"/>
              <w:left w:val="single" w:sz="4" w:space="0" w:color="auto"/>
              <w:bottom w:val="single" w:sz="4" w:space="0" w:color="auto"/>
              <w:right w:val="single" w:sz="4" w:space="0" w:color="auto"/>
            </w:tcBorders>
          </w:tcPr>
          <w:p w:rsidR="005828D8" w:rsidRDefault="005828D8" w:rsidP="001F1065">
            <w:pPr>
              <w:pStyle w:val="Listenabsatz"/>
              <w:numPr>
                <w:ilvl w:val="0"/>
                <w:numId w:val="14"/>
              </w:numPr>
              <w:spacing w:before="60"/>
              <w:rPr>
                <w:rFonts w:asciiTheme="minorHAnsi" w:hAnsiTheme="minorHAnsi"/>
                <w:b/>
                <w:sz w:val="22"/>
                <w:szCs w:val="22"/>
              </w:rPr>
            </w:pPr>
            <w:r>
              <w:rPr>
                <w:rFonts w:asciiTheme="minorHAnsi" w:hAnsiTheme="minorHAnsi"/>
                <w:b/>
                <w:sz w:val="22"/>
                <w:szCs w:val="22"/>
              </w:rPr>
              <w:t xml:space="preserve">Geringfügigkeit des </w:t>
            </w:r>
          </w:p>
          <w:p w:rsidR="005828D8" w:rsidRDefault="005828D8" w:rsidP="005828D8">
            <w:pPr>
              <w:pStyle w:val="Listenabsatz"/>
              <w:spacing w:before="60"/>
              <w:rPr>
                <w:rFonts w:asciiTheme="minorHAnsi" w:hAnsiTheme="minorHAnsi"/>
                <w:b/>
                <w:sz w:val="22"/>
                <w:szCs w:val="22"/>
              </w:rPr>
            </w:pPr>
            <w:r>
              <w:rPr>
                <w:rFonts w:asciiTheme="minorHAnsi" w:hAnsiTheme="minorHAnsi"/>
                <w:b/>
                <w:sz w:val="22"/>
                <w:szCs w:val="22"/>
              </w:rPr>
              <w:t>Verstoßes</w:t>
            </w:r>
          </w:p>
        </w:tc>
        <w:tc>
          <w:tcPr>
            <w:tcW w:w="5954" w:type="dxa"/>
            <w:tcBorders>
              <w:top w:val="single" w:sz="4" w:space="0" w:color="auto"/>
              <w:left w:val="single" w:sz="4" w:space="0" w:color="auto"/>
              <w:bottom w:val="single" w:sz="4" w:space="0" w:color="auto"/>
              <w:right w:val="single" w:sz="4" w:space="0" w:color="auto"/>
            </w:tcBorders>
          </w:tcPr>
          <w:p w:rsidR="005828D8" w:rsidRDefault="005828D8" w:rsidP="005828D8">
            <w:pPr>
              <w:spacing w:before="60" w:after="60"/>
              <w:rPr>
                <w:rFonts w:asciiTheme="minorHAnsi" w:hAnsiTheme="minorHAnsi"/>
                <w:sz w:val="20"/>
                <w:szCs w:val="20"/>
              </w:rPr>
            </w:pPr>
            <w:r>
              <w:rPr>
                <w:rFonts w:asciiTheme="minorHAnsi" w:hAnsiTheme="minorHAnsi"/>
                <w:sz w:val="20"/>
                <w:szCs w:val="20"/>
              </w:rPr>
              <w:t xml:space="preserve">Bei Geringfügigkeit des Verstoßes erfolgt </w:t>
            </w:r>
            <w:r w:rsidRPr="00AC1E5F">
              <w:rPr>
                <w:rFonts w:asciiTheme="minorHAnsi" w:hAnsiTheme="minorHAnsi"/>
                <w:sz w:val="20"/>
                <w:szCs w:val="20"/>
                <w:u w:val="single"/>
              </w:rPr>
              <w:t xml:space="preserve">keine </w:t>
            </w:r>
            <w:r w:rsidR="00AC1E5F">
              <w:rPr>
                <w:rFonts w:asciiTheme="minorHAnsi" w:hAnsiTheme="minorHAnsi"/>
                <w:sz w:val="20"/>
                <w:szCs w:val="20"/>
                <w:u w:val="single"/>
              </w:rPr>
              <w:t>Verwaltungss</w:t>
            </w:r>
            <w:r w:rsidRPr="00AC1E5F">
              <w:rPr>
                <w:rFonts w:asciiTheme="minorHAnsi" w:hAnsiTheme="minorHAnsi"/>
                <w:sz w:val="20"/>
                <w:szCs w:val="20"/>
                <w:u w:val="single"/>
              </w:rPr>
              <w:t>anktion</w:t>
            </w:r>
            <w:r>
              <w:rPr>
                <w:rFonts w:asciiTheme="minorHAnsi" w:hAnsiTheme="minorHAnsi"/>
                <w:sz w:val="20"/>
                <w:szCs w:val="20"/>
              </w:rPr>
              <w:t>.</w:t>
            </w:r>
          </w:p>
          <w:p w:rsidR="0062040A" w:rsidRDefault="00F27BA5" w:rsidP="0062040A">
            <w:pPr>
              <w:spacing w:before="60" w:after="60"/>
              <w:rPr>
                <w:rFonts w:asciiTheme="minorHAnsi" w:hAnsiTheme="minorHAnsi"/>
                <w:b/>
                <w:sz w:val="20"/>
                <w:szCs w:val="20"/>
              </w:rPr>
            </w:pPr>
            <w:r>
              <w:rPr>
                <w:rFonts w:asciiTheme="minorHAnsi" w:hAnsiTheme="minorHAnsi"/>
                <w:sz w:val="20"/>
                <w:szCs w:val="20"/>
              </w:rPr>
              <w:t>N</w:t>
            </w:r>
            <w:r w:rsidR="00A228C4">
              <w:rPr>
                <w:rFonts w:asciiTheme="minorHAnsi" w:hAnsiTheme="minorHAnsi"/>
                <w:sz w:val="20"/>
                <w:szCs w:val="20"/>
              </w:rPr>
              <w:t>ach</w:t>
            </w:r>
            <w:r>
              <w:rPr>
                <w:rFonts w:asciiTheme="minorHAnsi" w:hAnsiTheme="minorHAnsi"/>
                <w:sz w:val="20"/>
                <w:szCs w:val="20"/>
              </w:rPr>
              <w:t xml:space="preserve"> Art. 64 Abs. 7b) VO (EU) Nr. 1306/2013 </w:t>
            </w:r>
            <w:r w:rsidR="00190585">
              <w:rPr>
                <w:rFonts w:asciiTheme="minorHAnsi" w:hAnsiTheme="minorHAnsi"/>
                <w:sz w:val="20"/>
                <w:szCs w:val="20"/>
              </w:rPr>
              <w:t xml:space="preserve">werden Verstöße </w:t>
            </w:r>
            <w:r w:rsidR="002B7749">
              <w:rPr>
                <w:rFonts w:asciiTheme="minorHAnsi" w:hAnsiTheme="minorHAnsi"/>
                <w:sz w:val="20"/>
                <w:szCs w:val="20"/>
              </w:rPr>
              <w:t xml:space="preserve">bei der Förderung des ELER </w:t>
            </w:r>
            <w:r w:rsidR="00190585">
              <w:rPr>
                <w:rFonts w:asciiTheme="minorHAnsi" w:hAnsiTheme="minorHAnsi"/>
                <w:sz w:val="20"/>
                <w:szCs w:val="20"/>
              </w:rPr>
              <w:t xml:space="preserve">bis zu 3 % als geringfügig angesehen. </w:t>
            </w:r>
            <w:r w:rsidR="002B7749">
              <w:rPr>
                <w:rFonts w:asciiTheme="minorHAnsi" w:hAnsiTheme="minorHAnsi"/>
                <w:sz w:val="20"/>
                <w:szCs w:val="20"/>
              </w:rPr>
              <w:t>Verwa</w:t>
            </w:r>
            <w:r w:rsidR="002B7749">
              <w:rPr>
                <w:rFonts w:asciiTheme="minorHAnsi" w:hAnsiTheme="minorHAnsi"/>
                <w:sz w:val="20"/>
                <w:szCs w:val="20"/>
              </w:rPr>
              <w:t>l</w:t>
            </w:r>
            <w:r w:rsidR="002B7749">
              <w:rPr>
                <w:rFonts w:asciiTheme="minorHAnsi" w:hAnsiTheme="minorHAnsi"/>
                <w:sz w:val="20"/>
                <w:szCs w:val="20"/>
              </w:rPr>
              <w:lastRenderedPageBreak/>
              <w:t>tungssanktionen für Verstöße, die nicht mehr als geringfügig zu b</w:t>
            </w:r>
            <w:r w:rsidR="002B7749">
              <w:rPr>
                <w:rFonts w:asciiTheme="minorHAnsi" w:hAnsiTheme="minorHAnsi"/>
                <w:sz w:val="20"/>
                <w:szCs w:val="20"/>
              </w:rPr>
              <w:t>e</w:t>
            </w:r>
            <w:r w:rsidR="002B7749">
              <w:rPr>
                <w:rFonts w:asciiTheme="minorHAnsi" w:hAnsiTheme="minorHAnsi"/>
                <w:sz w:val="20"/>
                <w:szCs w:val="20"/>
              </w:rPr>
              <w:t xml:space="preserve">werten sind, müssen </w:t>
            </w:r>
            <w:r w:rsidRPr="00F27BA5">
              <w:rPr>
                <w:rFonts w:asciiTheme="minorHAnsi" w:hAnsiTheme="minorHAnsi"/>
                <w:b/>
                <w:sz w:val="20"/>
                <w:szCs w:val="20"/>
              </w:rPr>
              <w:t>mind. 3 %</w:t>
            </w:r>
            <w:r w:rsidR="0062040A">
              <w:rPr>
                <w:rFonts w:asciiTheme="minorHAnsi" w:hAnsiTheme="minorHAnsi"/>
                <w:b/>
                <w:sz w:val="20"/>
                <w:szCs w:val="20"/>
              </w:rPr>
              <w:t xml:space="preserve"> der Förderung betragen. </w:t>
            </w:r>
          </w:p>
          <w:p w:rsidR="00AC1E5F" w:rsidRDefault="00AC1E5F" w:rsidP="0062040A">
            <w:pPr>
              <w:spacing w:before="60" w:after="60"/>
              <w:rPr>
                <w:rFonts w:asciiTheme="minorHAnsi" w:hAnsiTheme="minorHAnsi"/>
                <w:sz w:val="20"/>
                <w:szCs w:val="20"/>
              </w:rPr>
            </w:pPr>
            <w:r>
              <w:rPr>
                <w:rFonts w:asciiTheme="minorHAnsi" w:hAnsiTheme="minorHAnsi"/>
                <w:sz w:val="20"/>
                <w:szCs w:val="20"/>
              </w:rPr>
              <w:t>Die 3 %-Grenze nach Art. 64 VO (EU) Nr. 1306/2013 gilt ausschließlich für Verstöße nach Art. 35 VO (EU) Nr. 640/2014 (Verstöße gegen Fö</w:t>
            </w:r>
            <w:r>
              <w:rPr>
                <w:rFonts w:asciiTheme="minorHAnsi" w:hAnsiTheme="minorHAnsi"/>
                <w:sz w:val="20"/>
                <w:szCs w:val="20"/>
              </w:rPr>
              <w:t>r</w:t>
            </w:r>
            <w:r>
              <w:rPr>
                <w:rFonts w:asciiTheme="minorHAnsi" w:hAnsiTheme="minorHAnsi"/>
                <w:sz w:val="20"/>
                <w:szCs w:val="20"/>
              </w:rPr>
              <w:t xml:space="preserve">derkriterien, Verpflichtungen, Auflagen). </w:t>
            </w:r>
          </w:p>
          <w:p w:rsidR="005828D8" w:rsidRDefault="0062040A" w:rsidP="00AC1E5F">
            <w:pPr>
              <w:spacing w:before="60" w:after="60"/>
              <w:rPr>
                <w:rFonts w:asciiTheme="minorHAnsi" w:hAnsiTheme="minorHAnsi"/>
                <w:sz w:val="20"/>
                <w:szCs w:val="20"/>
              </w:rPr>
            </w:pPr>
            <w:r w:rsidRPr="0062040A">
              <w:rPr>
                <w:rFonts w:asciiTheme="minorHAnsi" w:hAnsiTheme="minorHAnsi"/>
                <w:sz w:val="20"/>
                <w:szCs w:val="20"/>
              </w:rPr>
              <w:t>Für den</w:t>
            </w:r>
            <w:r>
              <w:rPr>
                <w:rFonts w:asciiTheme="minorHAnsi" w:hAnsiTheme="minorHAnsi"/>
                <w:b/>
                <w:sz w:val="20"/>
                <w:szCs w:val="20"/>
              </w:rPr>
              <w:t xml:space="preserve"> </w:t>
            </w:r>
            <w:r>
              <w:rPr>
                <w:rFonts w:asciiTheme="minorHAnsi" w:hAnsiTheme="minorHAnsi"/>
                <w:sz w:val="20"/>
                <w:szCs w:val="20"/>
              </w:rPr>
              <w:t>Bereich der Kontrollen von Zahlungsanträgen und damit der Verstöße gegen die Förderfähigkeit von Ausgaben hat d</w:t>
            </w:r>
            <w:r w:rsidR="002E1BA1">
              <w:rPr>
                <w:rFonts w:asciiTheme="minorHAnsi" w:hAnsiTheme="minorHAnsi"/>
                <w:sz w:val="20"/>
                <w:szCs w:val="20"/>
              </w:rPr>
              <w:t xml:space="preserve">ie Kommission </w:t>
            </w:r>
            <w:r>
              <w:rPr>
                <w:rFonts w:asciiTheme="minorHAnsi" w:hAnsiTheme="minorHAnsi"/>
                <w:sz w:val="20"/>
                <w:szCs w:val="20"/>
              </w:rPr>
              <w:t>mit</w:t>
            </w:r>
            <w:r w:rsidR="002E1BA1">
              <w:rPr>
                <w:rFonts w:asciiTheme="minorHAnsi" w:hAnsiTheme="minorHAnsi"/>
                <w:sz w:val="20"/>
                <w:szCs w:val="20"/>
              </w:rPr>
              <w:t xml:space="preserve"> Art. 63 VO (EU) Nr. 809/2014 eine</w:t>
            </w:r>
            <w:r>
              <w:rPr>
                <w:rFonts w:asciiTheme="minorHAnsi" w:hAnsiTheme="minorHAnsi"/>
                <w:sz w:val="20"/>
                <w:szCs w:val="20"/>
              </w:rPr>
              <w:t>n</w:t>
            </w:r>
            <w:r w:rsidR="002E1BA1">
              <w:rPr>
                <w:rFonts w:asciiTheme="minorHAnsi" w:hAnsiTheme="minorHAnsi"/>
                <w:sz w:val="20"/>
                <w:szCs w:val="20"/>
              </w:rPr>
              <w:t xml:space="preserve"> </w:t>
            </w:r>
            <w:r>
              <w:rPr>
                <w:rFonts w:asciiTheme="minorHAnsi" w:hAnsiTheme="minorHAnsi"/>
                <w:sz w:val="20"/>
                <w:szCs w:val="20"/>
              </w:rPr>
              <w:t>gesonderten</w:t>
            </w:r>
            <w:r w:rsidR="002E1BA1">
              <w:rPr>
                <w:rFonts w:asciiTheme="minorHAnsi" w:hAnsiTheme="minorHAnsi"/>
                <w:sz w:val="20"/>
                <w:szCs w:val="20"/>
              </w:rPr>
              <w:t xml:space="preserve"> </w:t>
            </w:r>
            <w:r>
              <w:rPr>
                <w:rFonts w:asciiTheme="minorHAnsi" w:hAnsiTheme="minorHAnsi"/>
                <w:sz w:val="20"/>
                <w:szCs w:val="20"/>
              </w:rPr>
              <w:t>Schwellenwert in Höhe von 10 % festgelegt. Nicht förderfähige Beträge &lt; 10 % werden nicht mit einer Verwaltungssanktion belegt und damit als geringfügig betrachtet.</w:t>
            </w:r>
          </w:p>
        </w:tc>
      </w:tr>
      <w:tr w:rsidR="002E1BA1" w:rsidRPr="00530494" w:rsidTr="00E27874">
        <w:trPr>
          <w:trHeight w:val="789"/>
        </w:trPr>
        <w:tc>
          <w:tcPr>
            <w:tcW w:w="3544" w:type="dxa"/>
            <w:tcBorders>
              <w:top w:val="single" w:sz="4" w:space="0" w:color="auto"/>
              <w:left w:val="single" w:sz="4" w:space="0" w:color="auto"/>
              <w:bottom w:val="single" w:sz="4" w:space="0" w:color="auto"/>
              <w:right w:val="single" w:sz="4" w:space="0" w:color="auto"/>
            </w:tcBorders>
          </w:tcPr>
          <w:p w:rsidR="002E1BA1" w:rsidRDefault="00124EFE" w:rsidP="00832691">
            <w:pPr>
              <w:pStyle w:val="Listenabsatz"/>
              <w:numPr>
                <w:ilvl w:val="0"/>
                <w:numId w:val="14"/>
              </w:numPr>
              <w:spacing w:before="60"/>
              <w:rPr>
                <w:rFonts w:asciiTheme="minorHAnsi" w:hAnsiTheme="minorHAnsi"/>
                <w:b/>
                <w:sz w:val="22"/>
                <w:szCs w:val="22"/>
              </w:rPr>
            </w:pPr>
            <w:r>
              <w:rPr>
                <w:rFonts w:asciiTheme="minorHAnsi" w:hAnsiTheme="minorHAnsi"/>
                <w:b/>
                <w:sz w:val="22"/>
                <w:szCs w:val="22"/>
              </w:rPr>
              <w:lastRenderedPageBreak/>
              <w:t>Wenn die Kommission mit delegiertem Rechtsakt eine Verhängung nicht für ang</w:t>
            </w:r>
            <w:r>
              <w:rPr>
                <w:rFonts w:asciiTheme="minorHAnsi" w:hAnsiTheme="minorHAnsi"/>
                <w:b/>
                <w:sz w:val="22"/>
                <w:szCs w:val="22"/>
              </w:rPr>
              <w:t>e</w:t>
            </w:r>
            <w:r>
              <w:rPr>
                <w:rFonts w:asciiTheme="minorHAnsi" w:hAnsiTheme="minorHAnsi"/>
                <w:b/>
                <w:sz w:val="22"/>
                <w:szCs w:val="22"/>
              </w:rPr>
              <w:t>bracht hält.</w:t>
            </w:r>
          </w:p>
        </w:tc>
        <w:tc>
          <w:tcPr>
            <w:tcW w:w="5954" w:type="dxa"/>
            <w:tcBorders>
              <w:top w:val="single" w:sz="4" w:space="0" w:color="auto"/>
              <w:left w:val="single" w:sz="4" w:space="0" w:color="auto"/>
              <w:bottom w:val="single" w:sz="4" w:space="0" w:color="auto"/>
              <w:right w:val="single" w:sz="4" w:space="0" w:color="auto"/>
            </w:tcBorders>
          </w:tcPr>
          <w:p w:rsidR="00124EFE" w:rsidRDefault="00124EFE" w:rsidP="005828D8">
            <w:pPr>
              <w:spacing w:before="60" w:after="60"/>
              <w:rPr>
                <w:rFonts w:asciiTheme="minorHAnsi" w:hAnsiTheme="minorHAnsi"/>
                <w:sz w:val="20"/>
                <w:szCs w:val="20"/>
              </w:rPr>
            </w:pPr>
            <w:r>
              <w:rPr>
                <w:rFonts w:asciiTheme="minorHAnsi" w:hAnsiTheme="minorHAnsi"/>
                <w:sz w:val="20"/>
                <w:szCs w:val="20"/>
              </w:rPr>
              <w:t>Für Verstöße gegen Förderkriterien, Verpflichtungen, Auflagen wurde mit Art. 36 VO (EU) Nr. 640/2014 die Möglichkeit der Einräumung einer 3-monatigen Nachbesserungspflicht mit befristeter Aussetzung der Förderung eingeräumt.</w:t>
            </w:r>
            <w:r w:rsidR="00AC1E5F">
              <w:rPr>
                <w:rFonts w:asciiTheme="minorHAnsi" w:hAnsiTheme="minorHAnsi"/>
                <w:sz w:val="20"/>
                <w:szCs w:val="20"/>
              </w:rPr>
              <w:t xml:space="preserve"> Wenn der Verstoß innerhalb der eing</w:t>
            </w:r>
            <w:r w:rsidR="00AC1E5F">
              <w:rPr>
                <w:rFonts w:asciiTheme="minorHAnsi" w:hAnsiTheme="minorHAnsi"/>
                <w:sz w:val="20"/>
                <w:szCs w:val="20"/>
              </w:rPr>
              <w:t>e</w:t>
            </w:r>
            <w:r w:rsidR="00AC1E5F">
              <w:rPr>
                <w:rFonts w:asciiTheme="minorHAnsi" w:hAnsiTheme="minorHAnsi"/>
                <w:sz w:val="20"/>
                <w:szCs w:val="20"/>
              </w:rPr>
              <w:t xml:space="preserve">räumten Frist abgestellt wird, ist </w:t>
            </w:r>
            <w:r w:rsidR="00AC1E5F" w:rsidRPr="00AC1E5F">
              <w:rPr>
                <w:rFonts w:asciiTheme="minorHAnsi" w:hAnsiTheme="minorHAnsi"/>
                <w:sz w:val="20"/>
                <w:szCs w:val="20"/>
                <w:u w:val="single"/>
              </w:rPr>
              <w:t>keine Verwaltungssanktion</w:t>
            </w:r>
            <w:r w:rsidR="00AC1E5F">
              <w:rPr>
                <w:rFonts w:asciiTheme="minorHAnsi" w:hAnsiTheme="minorHAnsi"/>
                <w:sz w:val="20"/>
                <w:szCs w:val="20"/>
              </w:rPr>
              <w:t xml:space="preserve"> ausz</w:t>
            </w:r>
            <w:r w:rsidR="00AC1E5F">
              <w:rPr>
                <w:rFonts w:asciiTheme="minorHAnsi" w:hAnsiTheme="minorHAnsi"/>
                <w:sz w:val="20"/>
                <w:szCs w:val="20"/>
              </w:rPr>
              <w:t>u</w:t>
            </w:r>
            <w:r w:rsidR="00AC1E5F">
              <w:rPr>
                <w:rFonts w:asciiTheme="minorHAnsi" w:hAnsiTheme="minorHAnsi"/>
                <w:sz w:val="20"/>
                <w:szCs w:val="20"/>
              </w:rPr>
              <w:t>sprechen.</w:t>
            </w:r>
          </w:p>
        </w:tc>
      </w:tr>
    </w:tbl>
    <w:p w:rsidR="00D23E5F" w:rsidRPr="00A01D9B" w:rsidRDefault="00D23E5F" w:rsidP="00D23E5F">
      <w:pPr>
        <w:pStyle w:val="Anschrift"/>
        <w:spacing w:before="120"/>
        <w:rPr>
          <w:rFonts w:asciiTheme="minorHAnsi" w:hAnsiTheme="minorHAnsi"/>
          <w:b/>
          <w:sz w:val="22"/>
          <w:szCs w:val="22"/>
        </w:rPr>
      </w:pPr>
    </w:p>
    <w:p w:rsidR="00D23E5F" w:rsidRPr="00A01D9B" w:rsidRDefault="00D23E5F" w:rsidP="00D23E5F">
      <w:pPr>
        <w:pStyle w:val="Anschrift"/>
        <w:spacing w:before="120"/>
        <w:rPr>
          <w:rFonts w:asciiTheme="minorHAnsi" w:hAnsiTheme="minorHAnsi"/>
          <w:b/>
          <w:sz w:val="22"/>
          <w:szCs w:val="22"/>
        </w:rPr>
      </w:pPr>
    </w:p>
    <w:p w:rsidR="00333C01" w:rsidRPr="00D23E5F" w:rsidRDefault="00324E22" w:rsidP="00324E22">
      <w:pPr>
        <w:pStyle w:val="Anschrift"/>
        <w:numPr>
          <w:ilvl w:val="0"/>
          <w:numId w:val="6"/>
        </w:numPr>
        <w:spacing w:before="120"/>
        <w:rPr>
          <w:rFonts w:asciiTheme="minorHAnsi" w:hAnsiTheme="minorHAnsi"/>
          <w:b/>
          <w:sz w:val="28"/>
          <w:szCs w:val="28"/>
        </w:rPr>
      </w:pPr>
      <w:r w:rsidRPr="00D23E5F">
        <w:rPr>
          <w:rFonts w:asciiTheme="minorHAnsi" w:hAnsiTheme="minorHAnsi"/>
          <w:b/>
          <w:sz w:val="28"/>
          <w:szCs w:val="28"/>
        </w:rPr>
        <w:t xml:space="preserve">Kürzungen und Sanktionen </w:t>
      </w:r>
      <w:r w:rsidR="00333C01" w:rsidRPr="00D23E5F">
        <w:rPr>
          <w:rFonts w:asciiTheme="minorHAnsi" w:hAnsiTheme="minorHAnsi"/>
          <w:b/>
          <w:sz w:val="28"/>
          <w:szCs w:val="28"/>
        </w:rPr>
        <w:t>nach Artikel 63 VO (EU) Nr. 809/2014</w:t>
      </w:r>
      <w:r w:rsidRPr="00D23E5F">
        <w:rPr>
          <w:rFonts w:asciiTheme="minorHAnsi" w:hAnsiTheme="minorHAnsi"/>
          <w:b/>
          <w:sz w:val="28"/>
          <w:szCs w:val="28"/>
        </w:rPr>
        <w:t>:</w:t>
      </w:r>
    </w:p>
    <w:p w:rsidR="00D23E5F" w:rsidRDefault="00D23E5F" w:rsidP="00D032EB">
      <w:pPr>
        <w:pStyle w:val="Anschrift"/>
        <w:spacing w:before="120" w:after="120"/>
        <w:rPr>
          <w:rFonts w:cs="Arial"/>
          <w:sz w:val="22"/>
          <w:szCs w:val="22"/>
        </w:rPr>
      </w:pPr>
    </w:p>
    <w:p w:rsidR="004E5CB6" w:rsidRDefault="00324E22" w:rsidP="00D032EB">
      <w:pPr>
        <w:pStyle w:val="Anschrift"/>
        <w:spacing w:before="120" w:after="120"/>
        <w:rPr>
          <w:rFonts w:cs="Arial"/>
          <w:sz w:val="22"/>
          <w:szCs w:val="22"/>
        </w:rPr>
      </w:pPr>
      <w:r w:rsidRPr="00324E22">
        <w:rPr>
          <w:rFonts w:cs="Arial"/>
          <w:sz w:val="22"/>
          <w:szCs w:val="22"/>
        </w:rPr>
        <w:t>Art. 63</w:t>
      </w:r>
      <w:r>
        <w:rPr>
          <w:rFonts w:cs="Arial"/>
          <w:sz w:val="22"/>
          <w:szCs w:val="22"/>
        </w:rPr>
        <w:t xml:space="preserve"> VO (EU) Nr. 809/2014 regelt die Rechtsfolgen für Feststellungen bei der </w:t>
      </w:r>
      <w:r w:rsidRPr="002C61B8">
        <w:rPr>
          <w:rFonts w:cs="Arial"/>
          <w:b/>
          <w:sz w:val="22"/>
          <w:szCs w:val="22"/>
        </w:rPr>
        <w:t xml:space="preserve">Prüfung </w:t>
      </w:r>
      <w:r w:rsidR="008E1DB1" w:rsidRPr="002C61B8">
        <w:rPr>
          <w:rFonts w:cs="Arial"/>
          <w:b/>
          <w:sz w:val="22"/>
          <w:szCs w:val="22"/>
        </w:rPr>
        <w:t xml:space="preserve">der Förderfähigkeit </w:t>
      </w:r>
      <w:r w:rsidRPr="002C61B8">
        <w:rPr>
          <w:rFonts w:cs="Arial"/>
          <w:b/>
          <w:sz w:val="22"/>
          <w:szCs w:val="22"/>
        </w:rPr>
        <w:t xml:space="preserve">von </w:t>
      </w:r>
      <w:r w:rsidR="00D032EB">
        <w:rPr>
          <w:rFonts w:cs="Arial"/>
          <w:b/>
          <w:sz w:val="22"/>
          <w:szCs w:val="22"/>
        </w:rPr>
        <w:t>Ausgaben/</w:t>
      </w:r>
      <w:r w:rsidRPr="002C61B8">
        <w:rPr>
          <w:rFonts w:cs="Arial"/>
          <w:b/>
          <w:sz w:val="22"/>
          <w:szCs w:val="22"/>
        </w:rPr>
        <w:t xml:space="preserve">Rechnungen </w:t>
      </w:r>
      <w:r w:rsidR="00832691">
        <w:rPr>
          <w:rFonts w:cs="Arial"/>
          <w:b/>
          <w:sz w:val="22"/>
          <w:szCs w:val="22"/>
        </w:rPr>
        <w:t>im Rahmen von Zahlungsanträgen.</w:t>
      </w:r>
    </w:p>
    <w:p w:rsidR="00D032EB" w:rsidRPr="00691924" w:rsidRDefault="00D032EB" w:rsidP="00832691">
      <w:pPr>
        <w:pStyle w:val="Anschrift"/>
        <w:numPr>
          <w:ilvl w:val="0"/>
          <w:numId w:val="7"/>
        </w:numPr>
        <w:spacing w:before="240"/>
        <w:rPr>
          <w:rFonts w:asciiTheme="minorHAnsi" w:hAnsiTheme="minorHAnsi" w:cs="Arial"/>
        </w:rPr>
      </w:pPr>
      <w:r w:rsidRPr="00691924">
        <w:rPr>
          <w:rFonts w:asciiTheme="minorHAnsi" w:hAnsiTheme="minorHAnsi" w:cs="Arial"/>
        </w:rPr>
        <w:t>Prüfung der Förderfähigkeit von Ausgaben bei der Verwaltungskontrolle (VwK) eines Zahlungsantrages</w:t>
      </w:r>
      <w:r w:rsidR="001633FF" w:rsidRPr="00691924">
        <w:rPr>
          <w:rFonts w:asciiTheme="minorHAnsi" w:hAnsiTheme="minorHAnsi" w:cs="Arial"/>
        </w:rPr>
        <w:t xml:space="preserve"> n</w:t>
      </w:r>
      <w:r w:rsidR="00832691">
        <w:rPr>
          <w:rFonts w:asciiTheme="minorHAnsi" w:hAnsiTheme="minorHAnsi" w:cs="Arial"/>
        </w:rPr>
        <w:t>ach</w:t>
      </w:r>
      <w:r w:rsidR="001633FF" w:rsidRPr="00691924">
        <w:rPr>
          <w:rFonts w:asciiTheme="minorHAnsi" w:hAnsiTheme="minorHAnsi" w:cs="Arial"/>
        </w:rPr>
        <w:t xml:space="preserve"> Art. 63 Abs. 1 VO (EU) Nr. 809/2014</w:t>
      </w:r>
      <w:r w:rsidRPr="00691924">
        <w:rPr>
          <w:rFonts w:asciiTheme="minorHAnsi" w:hAnsiTheme="minorHAnsi" w:cs="Arial"/>
        </w:rPr>
        <w:t>:</w:t>
      </w:r>
    </w:p>
    <w:p w:rsidR="00C31CDC" w:rsidRDefault="00324E22" w:rsidP="0030030D">
      <w:pPr>
        <w:pStyle w:val="Anschrift"/>
        <w:spacing w:before="120"/>
        <w:jc w:val="both"/>
        <w:rPr>
          <w:rFonts w:cs="Arial"/>
          <w:sz w:val="22"/>
          <w:szCs w:val="22"/>
        </w:rPr>
      </w:pPr>
      <w:r>
        <w:rPr>
          <w:rFonts w:cs="Arial"/>
          <w:sz w:val="22"/>
          <w:szCs w:val="22"/>
        </w:rPr>
        <w:t xml:space="preserve">Sofern </w:t>
      </w:r>
      <w:r w:rsidR="00D032EB">
        <w:rPr>
          <w:rFonts w:cs="Arial"/>
          <w:sz w:val="22"/>
          <w:szCs w:val="22"/>
        </w:rPr>
        <w:t xml:space="preserve">bei der Verwaltungskontrolle </w:t>
      </w:r>
      <w:r>
        <w:rPr>
          <w:rFonts w:cs="Arial"/>
          <w:sz w:val="22"/>
          <w:szCs w:val="22"/>
        </w:rPr>
        <w:t>festgestellt wird, dass Beträge, die</w:t>
      </w:r>
      <w:r w:rsidR="002C61B8">
        <w:rPr>
          <w:rFonts w:cs="Arial"/>
          <w:sz w:val="22"/>
          <w:szCs w:val="22"/>
        </w:rPr>
        <w:t xml:space="preserve"> der Begünstigte </w:t>
      </w:r>
      <w:r w:rsidR="00C31CDC">
        <w:rPr>
          <w:rFonts w:cs="Arial"/>
          <w:sz w:val="22"/>
          <w:szCs w:val="22"/>
        </w:rPr>
        <w:t xml:space="preserve">auf Grundlage des Bewilligungsbescheides </w:t>
      </w:r>
      <w:r w:rsidR="002C61B8">
        <w:rPr>
          <w:rFonts w:cs="Arial"/>
          <w:sz w:val="22"/>
          <w:szCs w:val="22"/>
        </w:rPr>
        <w:t>mit Zahlungsantra</w:t>
      </w:r>
      <w:r>
        <w:rPr>
          <w:rFonts w:cs="Arial"/>
          <w:sz w:val="22"/>
          <w:szCs w:val="22"/>
        </w:rPr>
        <w:t>g</w:t>
      </w:r>
      <w:r w:rsidR="008E1DB1">
        <w:rPr>
          <w:rFonts w:cs="Arial"/>
          <w:sz w:val="22"/>
          <w:szCs w:val="22"/>
        </w:rPr>
        <w:t xml:space="preserve"> als förderfähig deklariert und </w:t>
      </w:r>
      <w:r>
        <w:rPr>
          <w:rFonts w:cs="Arial"/>
          <w:sz w:val="22"/>
          <w:szCs w:val="22"/>
        </w:rPr>
        <w:t xml:space="preserve">zur Erstattung beantragt </w:t>
      </w:r>
      <w:r w:rsidR="002C61B8">
        <w:rPr>
          <w:rFonts w:cs="Arial"/>
          <w:sz w:val="22"/>
          <w:szCs w:val="22"/>
        </w:rPr>
        <w:t>hat</w:t>
      </w:r>
      <w:r w:rsidR="008E1DB1">
        <w:rPr>
          <w:rFonts w:cs="Arial"/>
          <w:sz w:val="22"/>
          <w:szCs w:val="22"/>
        </w:rPr>
        <w:t>, nicht förderfähig sind, so wird der Zahlungsantrag um den als nicht förderfähig</w:t>
      </w:r>
      <w:r w:rsidR="007B0C35">
        <w:rPr>
          <w:rFonts w:cs="Arial"/>
          <w:sz w:val="22"/>
          <w:szCs w:val="22"/>
        </w:rPr>
        <w:t xml:space="preserve"> festgestellten Betrag gekürzt</w:t>
      </w:r>
      <w:r w:rsidR="008E1DB1">
        <w:rPr>
          <w:rFonts w:cs="Arial"/>
          <w:sz w:val="22"/>
          <w:szCs w:val="22"/>
        </w:rPr>
        <w:t xml:space="preserve">. </w:t>
      </w:r>
      <w:r w:rsidR="007613E5">
        <w:rPr>
          <w:rFonts w:cs="Arial"/>
          <w:sz w:val="22"/>
          <w:szCs w:val="22"/>
        </w:rPr>
        <w:t>Die</w:t>
      </w:r>
      <w:r w:rsidR="007B0C35">
        <w:rPr>
          <w:rFonts w:cs="Arial"/>
          <w:sz w:val="22"/>
          <w:szCs w:val="22"/>
        </w:rPr>
        <w:t>se</w:t>
      </w:r>
      <w:r w:rsidR="008E1DB1">
        <w:rPr>
          <w:rFonts w:cs="Arial"/>
          <w:sz w:val="22"/>
          <w:szCs w:val="22"/>
        </w:rPr>
        <w:t xml:space="preserve"> </w:t>
      </w:r>
      <w:r w:rsidR="007B0C35">
        <w:rPr>
          <w:rFonts w:cs="Arial"/>
          <w:sz w:val="22"/>
          <w:szCs w:val="22"/>
        </w:rPr>
        <w:t>„</w:t>
      </w:r>
      <w:r w:rsidR="007613E5">
        <w:rPr>
          <w:rFonts w:cs="Arial"/>
          <w:sz w:val="22"/>
          <w:szCs w:val="22"/>
        </w:rPr>
        <w:t xml:space="preserve">einfache </w:t>
      </w:r>
      <w:r w:rsidR="008E1DB1">
        <w:rPr>
          <w:rFonts w:cs="Arial"/>
          <w:sz w:val="22"/>
          <w:szCs w:val="22"/>
        </w:rPr>
        <w:t>Kürzung</w:t>
      </w:r>
      <w:r w:rsidR="007B0C35">
        <w:rPr>
          <w:rFonts w:cs="Arial"/>
          <w:sz w:val="22"/>
          <w:szCs w:val="22"/>
        </w:rPr>
        <w:t>“</w:t>
      </w:r>
      <w:r w:rsidR="008E1DB1">
        <w:rPr>
          <w:rFonts w:cs="Arial"/>
          <w:sz w:val="22"/>
          <w:szCs w:val="22"/>
        </w:rPr>
        <w:t xml:space="preserve"> stellt keine Sanktion dar.</w:t>
      </w:r>
    </w:p>
    <w:p w:rsidR="002C61B8" w:rsidRDefault="007613E5" w:rsidP="0030030D">
      <w:pPr>
        <w:pStyle w:val="Anschrift"/>
        <w:spacing w:before="120"/>
        <w:jc w:val="both"/>
        <w:rPr>
          <w:rFonts w:cs="Arial"/>
          <w:sz w:val="22"/>
          <w:szCs w:val="22"/>
        </w:rPr>
      </w:pPr>
      <w:r>
        <w:rPr>
          <w:rFonts w:cs="Arial"/>
          <w:sz w:val="22"/>
          <w:szCs w:val="22"/>
        </w:rPr>
        <w:t>Erst wenn die Prüfung des Zahlungsantrages eine</w:t>
      </w:r>
      <w:r w:rsidR="00775D94">
        <w:rPr>
          <w:rFonts w:cs="Arial"/>
          <w:sz w:val="22"/>
          <w:szCs w:val="22"/>
        </w:rPr>
        <w:t xml:space="preserve"> Differenz</w:t>
      </w:r>
      <w:r>
        <w:rPr>
          <w:rFonts w:cs="Arial"/>
          <w:sz w:val="22"/>
          <w:szCs w:val="22"/>
        </w:rPr>
        <w:t xml:space="preserve"> </w:t>
      </w:r>
      <w:r w:rsidR="00775D94">
        <w:rPr>
          <w:rFonts w:cs="Arial"/>
          <w:sz w:val="22"/>
          <w:szCs w:val="22"/>
        </w:rPr>
        <w:t xml:space="preserve">zwischen </w:t>
      </w:r>
      <w:r>
        <w:rPr>
          <w:rFonts w:cs="Arial"/>
          <w:sz w:val="22"/>
          <w:szCs w:val="22"/>
        </w:rPr>
        <w:t xml:space="preserve">vom Begünstigten als </w:t>
      </w:r>
      <w:r w:rsidR="00775D94">
        <w:rPr>
          <w:rFonts w:cs="Arial"/>
          <w:sz w:val="22"/>
          <w:szCs w:val="22"/>
        </w:rPr>
        <w:t xml:space="preserve">förderfähig beantragten und </w:t>
      </w:r>
      <w:r>
        <w:rPr>
          <w:rFonts w:cs="Arial"/>
          <w:sz w:val="22"/>
          <w:szCs w:val="22"/>
        </w:rPr>
        <w:t xml:space="preserve">von der Bewilligungsstelle </w:t>
      </w:r>
      <w:r w:rsidR="00775D94">
        <w:rPr>
          <w:rFonts w:cs="Arial"/>
          <w:sz w:val="22"/>
          <w:szCs w:val="22"/>
        </w:rPr>
        <w:t xml:space="preserve">als tatsächlich förderfähig festgestellten Beträgen </w:t>
      </w:r>
      <w:r w:rsidR="009D7706">
        <w:rPr>
          <w:rFonts w:cs="Arial"/>
          <w:sz w:val="22"/>
          <w:szCs w:val="22"/>
        </w:rPr>
        <w:t xml:space="preserve">in Höhe von </w:t>
      </w:r>
      <w:r w:rsidR="00775D94">
        <w:rPr>
          <w:rFonts w:cs="Arial"/>
          <w:sz w:val="22"/>
          <w:szCs w:val="22"/>
        </w:rPr>
        <w:t>10 % überschreitet, ist der Zahlungsantrag eines Begünstigten zu sankt</w:t>
      </w:r>
      <w:r w:rsidR="00775D94">
        <w:rPr>
          <w:rFonts w:cs="Arial"/>
          <w:sz w:val="22"/>
          <w:szCs w:val="22"/>
        </w:rPr>
        <w:t>i</w:t>
      </w:r>
      <w:r w:rsidR="00775D94">
        <w:rPr>
          <w:rFonts w:cs="Arial"/>
          <w:sz w:val="22"/>
          <w:szCs w:val="22"/>
        </w:rPr>
        <w:t xml:space="preserve">onieren. Die Verwaltungssanktion nach Art. 63 VO (EU) Nr. 809/2014 ist ein </w:t>
      </w:r>
      <w:r w:rsidR="00775D94" w:rsidRPr="009D7706">
        <w:rPr>
          <w:rFonts w:cs="Arial"/>
          <w:sz w:val="22"/>
          <w:szCs w:val="22"/>
          <w:u w:val="single"/>
        </w:rPr>
        <w:t>Strafbetrag</w:t>
      </w:r>
      <w:r w:rsidR="00775D94">
        <w:rPr>
          <w:rFonts w:cs="Arial"/>
          <w:sz w:val="22"/>
          <w:szCs w:val="22"/>
        </w:rPr>
        <w:t>, der bei Überschreitung der 10 %ige</w:t>
      </w:r>
      <w:r w:rsidR="00AC1E5F">
        <w:rPr>
          <w:rFonts w:cs="Arial"/>
          <w:sz w:val="22"/>
          <w:szCs w:val="22"/>
        </w:rPr>
        <w:t>n</w:t>
      </w:r>
      <w:r w:rsidR="00775D94">
        <w:rPr>
          <w:rFonts w:cs="Arial"/>
          <w:sz w:val="22"/>
          <w:szCs w:val="22"/>
        </w:rPr>
        <w:t xml:space="preserve"> Sanktionsgrenze in selber Höhe wie die Kürzung </w:t>
      </w:r>
      <w:r w:rsidR="00775D94" w:rsidRPr="001633FF">
        <w:rPr>
          <w:rFonts w:cs="Arial"/>
          <w:b/>
          <w:sz w:val="22"/>
          <w:szCs w:val="22"/>
        </w:rPr>
        <w:t>zusätzlich</w:t>
      </w:r>
      <w:r w:rsidR="00775D94">
        <w:rPr>
          <w:rFonts w:cs="Arial"/>
          <w:sz w:val="22"/>
          <w:szCs w:val="22"/>
        </w:rPr>
        <w:t xml:space="preserve"> a</w:t>
      </w:r>
      <w:r w:rsidR="00775D94">
        <w:rPr>
          <w:rFonts w:cs="Arial"/>
          <w:sz w:val="22"/>
          <w:szCs w:val="22"/>
        </w:rPr>
        <w:t>b</w:t>
      </w:r>
      <w:r w:rsidR="00775D94">
        <w:rPr>
          <w:rFonts w:cs="Arial"/>
          <w:sz w:val="22"/>
          <w:szCs w:val="22"/>
        </w:rPr>
        <w:t>gezogen wird</w:t>
      </w:r>
      <w:r w:rsidR="009D7706">
        <w:rPr>
          <w:rFonts w:cs="Arial"/>
          <w:sz w:val="22"/>
          <w:szCs w:val="22"/>
        </w:rPr>
        <w:t xml:space="preserve"> (</w:t>
      </w:r>
      <w:r w:rsidR="007B0C35">
        <w:rPr>
          <w:rFonts w:cs="Arial"/>
          <w:sz w:val="22"/>
          <w:szCs w:val="22"/>
        </w:rPr>
        <w:t>„</w:t>
      </w:r>
      <w:r w:rsidR="002C61B8" w:rsidRPr="002C61B8">
        <w:rPr>
          <w:rFonts w:cs="Arial"/>
          <w:b/>
          <w:sz w:val="22"/>
          <w:szCs w:val="22"/>
        </w:rPr>
        <w:t>Verwaltungss</w:t>
      </w:r>
      <w:r w:rsidR="009D7706" w:rsidRPr="002C61B8">
        <w:rPr>
          <w:rFonts w:cs="Arial"/>
          <w:b/>
          <w:sz w:val="22"/>
          <w:szCs w:val="22"/>
        </w:rPr>
        <w:t>anktion</w:t>
      </w:r>
      <w:r w:rsidR="007B0C35">
        <w:rPr>
          <w:rFonts w:cs="Arial"/>
          <w:b/>
          <w:sz w:val="22"/>
          <w:szCs w:val="22"/>
        </w:rPr>
        <w:t>“</w:t>
      </w:r>
      <w:r w:rsidR="009D7706">
        <w:rPr>
          <w:rFonts w:cs="Arial"/>
          <w:sz w:val="22"/>
          <w:szCs w:val="22"/>
        </w:rPr>
        <w:t>)</w:t>
      </w:r>
      <w:r w:rsidR="00775D94">
        <w:rPr>
          <w:rFonts w:cs="Arial"/>
          <w:sz w:val="22"/>
          <w:szCs w:val="22"/>
        </w:rPr>
        <w:t xml:space="preserve">. </w:t>
      </w:r>
    </w:p>
    <w:p w:rsidR="001633FF" w:rsidRDefault="001633FF" w:rsidP="0030030D">
      <w:pPr>
        <w:pStyle w:val="Anschrift"/>
        <w:spacing w:before="120"/>
        <w:jc w:val="both"/>
        <w:rPr>
          <w:rFonts w:cs="Arial"/>
          <w:sz w:val="22"/>
          <w:szCs w:val="22"/>
        </w:rPr>
      </w:pPr>
      <w:r>
        <w:rPr>
          <w:rFonts w:cs="Arial"/>
          <w:sz w:val="22"/>
          <w:szCs w:val="22"/>
        </w:rPr>
        <w:t xml:space="preserve">Eine Sanktion </w:t>
      </w:r>
      <w:r w:rsidR="00FB5876">
        <w:rPr>
          <w:rFonts w:cs="Arial"/>
          <w:sz w:val="22"/>
          <w:szCs w:val="22"/>
        </w:rPr>
        <w:t>ist</w:t>
      </w:r>
      <w:r>
        <w:rPr>
          <w:rFonts w:cs="Arial"/>
          <w:sz w:val="22"/>
          <w:szCs w:val="22"/>
        </w:rPr>
        <w:t xml:space="preserve"> nur dann</w:t>
      </w:r>
      <w:r w:rsidR="00B9757A">
        <w:rPr>
          <w:rFonts w:cs="Arial"/>
          <w:sz w:val="22"/>
          <w:szCs w:val="22"/>
        </w:rPr>
        <w:t xml:space="preserve"> nicht </w:t>
      </w:r>
      <w:r w:rsidR="00FB5876">
        <w:rPr>
          <w:rFonts w:cs="Arial"/>
          <w:sz w:val="22"/>
          <w:szCs w:val="22"/>
        </w:rPr>
        <w:t xml:space="preserve">zu </w:t>
      </w:r>
      <w:r w:rsidR="00B9757A">
        <w:rPr>
          <w:rFonts w:cs="Arial"/>
          <w:sz w:val="22"/>
          <w:szCs w:val="22"/>
        </w:rPr>
        <w:t>verhäng</w:t>
      </w:r>
      <w:r w:rsidR="00FB5876">
        <w:rPr>
          <w:rFonts w:cs="Arial"/>
          <w:sz w:val="22"/>
          <w:szCs w:val="22"/>
        </w:rPr>
        <w:t>en</w:t>
      </w:r>
      <w:r w:rsidR="00B9757A">
        <w:rPr>
          <w:rFonts w:cs="Arial"/>
          <w:sz w:val="22"/>
          <w:szCs w:val="22"/>
        </w:rPr>
        <w:t>, wenn der Begünstigte zur Zufriedenheit der B</w:t>
      </w:r>
      <w:r w:rsidR="00B9757A">
        <w:rPr>
          <w:rFonts w:cs="Arial"/>
          <w:sz w:val="22"/>
          <w:szCs w:val="22"/>
        </w:rPr>
        <w:t>e</w:t>
      </w:r>
      <w:r w:rsidR="00B9757A">
        <w:rPr>
          <w:rFonts w:cs="Arial"/>
          <w:sz w:val="22"/>
          <w:szCs w:val="22"/>
        </w:rPr>
        <w:t>willigungsbehörde nachweisen kann, dass er die Einbeziehung des nicht förderfähigen Betr</w:t>
      </w:r>
      <w:r w:rsidR="00B9757A">
        <w:rPr>
          <w:rFonts w:cs="Arial"/>
          <w:sz w:val="22"/>
          <w:szCs w:val="22"/>
        </w:rPr>
        <w:t>a</w:t>
      </w:r>
      <w:r w:rsidR="00B9757A">
        <w:rPr>
          <w:rFonts w:cs="Arial"/>
          <w:sz w:val="22"/>
          <w:szCs w:val="22"/>
        </w:rPr>
        <w:t>ges in den Zahlungsantrag nicht zu vertreten hat. Das Nicht-Verschulden muss also vom B</w:t>
      </w:r>
      <w:r w:rsidR="00B9757A">
        <w:rPr>
          <w:rFonts w:cs="Arial"/>
          <w:sz w:val="22"/>
          <w:szCs w:val="22"/>
        </w:rPr>
        <w:t>e</w:t>
      </w:r>
      <w:r w:rsidR="00B9757A">
        <w:rPr>
          <w:rFonts w:cs="Arial"/>
          <w:sz w:val="22"/>
          <w:szCs w:val="22"/>
        </w:rPr>
        <w:t>günstigten plausibel nachgewiesen und von der Bewilligungsbehörde anerkannt werden.</w:t>
      </w:r>
    </w:p>
    <w:p w:rsidR="00712735" w:rsidRDefault="00712735" w:rsidP="0030030D">
      <w:pPr>
        <w:pStyle w:val="Anschrift"/>
        <w:spacing w:before="120"/>
        <w:jc w:val="both"/>
        <w:rPr>
          <w:rFonts w:cs="Arial"/>
          <w:sz w:val="22"/>
          <w:szCs w:val="22"/>
        </w:rPr>
      </w:pPr>
      <w:r>
        <w:rPr>
          <w:rFonts w:cs="Arial"/>
          <w:sz w:val="22"/>
          <w:szCs w:val="22"/>
        </w:rPr>
        <w:t>Darüber hinaus gelten auch</w:t>
      </w:r>
      <w:r w:rsidR="00B26A67">
        <w:rPr>
          <w:rFonts w:cs="Arial"/>
          <w:sz w:val="22"/>
          <w:szCs w:val="22"/>
        </w:rPr>
        <w:t xml:space="preserve"> die weiteren Ausnahmesachverhalt</w:t>
      </w:r>
      <w:r>
        <w:rPr>
          <w:rFonts w:cs="Arial"/>
          <w:sz w:val="22"/>
          <w:szCs w:val="22"/>
        </w:rPr>
        <w:t>e</w:t>
      </w:r>
      <w:r w:rsidR="00B26A67">
        <w:rPr>
          <w:rFonts w:cs="Arial"/>
          <w:sz w:val="22"/>
          <w:szCs w:val="22"/>
        </w:rPr>
        <w:t xml:space="preserve"> nach </w:t>
      </w:r>
      <w:r w:rsidR="00B26A67">
        <w:rPr>
          <w:sz w:val="22"/>
          <w:szCs w:val="22"/>
        </w:rPr>
        <w:t>Art. 64 Abs. 2 VO (EU) Nr. 1306/2013 wie höhere Gewalt, offensichtliche</w:t>
      </w:r>
      <w:r w:rsidR="00DD782C">
        <w:rPr>
          <w:sz w:val="22"/>
          <w:szCs w:val="22"/>
        </w:rPr>
        <w:t>r</w:t>
      </w:r>
      <w:r w:rsidR="00B26A67">
        <w:rPr>
          <w:sz w:val="22"/>
          <w:szCs w:val="22"/>
        </w:rPr>
        <w:t xml:space="preserve"> Irrtum, Verwaltungsfehler u.a.</w:t>
      </w:r>
    </w:p>
    <w:p w:rsidR="00D032EB" w:rsidRDefault="00D032EB" w:rsidP="0030030D">
      <w:pPr>
        <w:pStyle w:val="Anschrift"/>
        <w:spacing w:before="120"/>
        <w:jc w:val="both"/>
        <w:rPr>
          <w:rFonts w:cs="Arial"/>
          <w:sz w:val="22"/>
          <w:szCs w:val="22"/>
        </w:rPr>
      </w:pPr>
      <w:r>
        <w:rPr>
          <w:rFonts w:cs="Arial"/>
          <w:sz w:val="22"/>
          <w:szCs w:val="22"/>
        </w:rPr>
        <w:t xml:space="preserve">Die vorstehenden Regelungen </w:t>
      </w:r>
      <w:r w:rsidR="008230AA">
        <w:rPr>
          <w:rFonts w:cs="Arial"/>
          <w:sz w:val="22"/>
          <w:szCs w:val="22"/>
        </w:rPr>
        <w:t>sind</w:t>
      </w:r>
      <w:r>
        <w:rPr>
          <w:rFonts w:cs="Arial"/>
          <w:sz w:val="22"/>
          <w:szCs w:val="22"/>
        </w:rPr>
        <w:t xml:space="preserve"> auf jeden einzelnen Zwischenzahlungs</w:t>
      </w:r>
      <w:r w:rsidR="00832691">
        <w:rPr>
          <w:rFonts w:cs="Arial"/>
          <w:sz w:val="22"/>
          <w:szCs w:val="22"/>
        </w:rPr>
        <w:t>- und Zahlungs</w:t>
      </w:r>
      <w:r>
        <w:rPr>
          <w:rFonts w:cs="Arial"/>
          <w:sz w:val="22"/>
          <w:szCs w:val="22"/>
        </w:rPr>
        <w:t>a</w:t>
      </w:r>
      <w:r>
        <w:rPr>
          <w:rFonts w:cs="Arial"/>
          <w:sz w:val="22"/>
          <w:szCs w:val="22"/>
        </w:rPr>
        <w:t>n</w:t>
      </w:r>
      <w:r>
        <w:rPr>
          <w:rFonts w:cs="Arial"/>
          <w:sz w:val="22"/>
          <w:szCs w:val="22"/>
        </w:rPr>
        <w:t>trag an</w:t>
      </w:r>
      <w:r w:rsidR="008230AA">
        <w:rPr>
          <w:rFonts w:cs="Arial"/>
          <w:sz w:val="22"/>
          <w:szCs w:val="22"/>
        </w:rPr>
        <w:t>zu</w:t>
      </w:r>
      <w:r>
        <w:rPr>
          <w:rFonts w:cs="Arial"/>
          <w:sz w:val="22"/>
          <w:szCs w:val="22"/>
        </w:rPr>
        <w:t>w</w:t>
      </w:r>
      <w:r w:rsidR="008230AA">
        <w:rPr>
          <w:rFonts w:cs="Arial"/>
          <w:sz w:val="22"/>
          <w:szCs w:val="22"/>
        </w:rPr>
        <w:t>e</w:t>
      </w:r>
      <w:r>
        <w:rPr>
          <w:rFonts w:cs="Arial"/>
          <w:sz w:val="22"/>
          <w:szCs w:val="22"/>
        </w:rPr>
        <w:t>nd</w:t>
      </w:r>
      <w:r w:rsidR="008230AA">
        <w:rPr>
          <w:rFonts w:cs="Arial"/>
          <w:sz w:val="22"/>
          <w:szCs w:val="22"/>
        </w:rPr>
        <w:t>en</w:t>
      </w:r>
      <w:r w:rsidR="00B9757A">
        <w:rPr>
          <w:rFonts w:cs="Arial"/>
          <w:sz w:val="22"/>
          <w:szCs w:val="22"/>
        </w:rPr>
        <w:t>.</w:t>
      </w:r>
    </w:p>
    <w:p w:rsidR="00A01D9B" w:rsidRDefault="00A01D9B" w:rsidP="00A01D9B">
      <w:pPr>
        <w:pStyle w:val="Anschrift"/>
        <w:spacing w:before="120"/>
        <w:jc w:val="both"/>
        <w:rPr>
          <w:rFonts w:cs="Arial"/>
          <w:sz w:val="22"/>
          <w:szCs w:val="22"/>
        </w:rPr>
      </w:pPr>
      <w:r>
        <w:rPr>
          <w:rFonts w:cs="Arial"/>
          <w:sz w:val="22"/>
          <w:szCs w:val="22"/>
        </w:rPr>
        <w:t xml:space="preserve">Im Falle von Mehrausgaben, die über den Zuschusshöchstbetrag hinausgehen, können </w:t>
      </w:r>
      <w:r w:rsidR="008230AA">
        <w:rPr>
          <w:rFonts w:cs="Arial"/>
          <w:sz w:val="22"/>
          <w:szCs w:val="22"/>
        </w:rPr>
        <w:t xml:space="preserve">die </w:t>
      </w:r>
      <w:r>
        <w:rPr>
          <w:rFonts w:cs="Arial"/>
          <w:sz w:val="22"/>
          <w:szCs w:val="22"/>
        </w:rPr>
        <w:t xml:space="preserve">als nicht förderfähig anzuerkennende Ausgabenanteile dem übererklärten Bereich zugerechnet </w:t>
      </w:r>
      <w:r>
        <w:rPr>
          <w:rFonts w:cs="Arial"/>
          <w:sz w:val="22"/>
          <w:szCs w:val="22"/>
        </w:rPr>
        <w:lastRenderedPageBreak/>
        <w:t xml:space="preserve">werden und sind damit nicht kürzungs- bzw. sanktionsrelevant, sofern dies dem Kosten- und Finanzierungsplan nicht widerspricht. </w:t>
      </w:r>
    </w:p>
    <w:p w:rsidR="00986F6B" w:rsidRPr="00986F6B" w:rsidRDefault="00986F6B" w:rsidP="007613E5">
      <w:pPr>
        <w:pStyle w:val="Anschrift"/>
        <w:spacing w:before="120"/>
        <w:jc w:val="both"/>
        <w:rPr>
          <w:rFonts w:asciiTheme="minorHAnsi" w:hAnsiTheme="minorHAnsi" w:cs="Arial"/>
          <w:sz w:val="22"/>
          <w:szCs w:val="22"/>
        </w:rPr>
      </w:pPr>
    </w:p>
    <w:p w:rsidR="005D4C36" w:rsidRPr="005D4C36" w:rsidRDefault="005D4C36" w:rsidP="004E5CB6">
      <w:pPr>
        <w:pStyle w:val="Anschrift"/>
        <w:numPr>
          <w:ilvl w:val="0"/>
          <w:numId w:val="7"/>
        </w:numPr>
        <w:spacing w:before="120"/>
        <w:rPr>
          <w:rFonts w:asciiTheme="minorHAnsi" w:hAnsiTheme="minorHAnsi" w:cs="Arial"/>
        </w:rPr>
      </w:pPr>
      <w:r w:rsidRPr="005D4C36">
        <w:rPr>
          <w:rFonts w:asciiTheme="minorHAnsi" w:hAnsiTheme="minorHAnsi" w:cs="Arial"/>
        </w:rPr>
        <w:t>Prüfung der Förderfähigkeit von Ausgaben bei der V</w:t>
      </w:r>
      <w:r w:rsidR="004E5CB6">
        <w:rPr>
          <w:rFonts w:asciiTheme="minorHAnsi" w:hAnsiTheme="minorHAnsi" w:cs="Arial"/>
        </w:rPr>
        <w:t>or-Ort-Kontrolle (VO</w:t>
      </w:r>
      <w:r w:rsidRPr="005D4C36">
        <w:rPr>
          <w:rFonts w:asciiTheme="minorHAnsi" w:hAnsiTheme="minorHAnsi" w:cs="Arial"/>
        </w:rPr>
        <w:t>K) n</w:t>
      </w:r>
      <w:r w:rsidR="007B0C35">
        <w:rPr>
          <w:rFonts w:asciiTheme="minorHAnsi" w:hAnsiTheme="minorHAnsi" w:cs="Arial"/>
        </w:rPr>
        <w:t>ach</w:t>
      </w:r>
      <w:r w:rsidRPr="005D4C36">
        <w:rPr>
          <w:rFonts w:asciiTheme="minorHAnsi" w:hAnsiTheme="minorHAnsi" w:cs="Arial"/>
        </w:rPr>
        <w:t xml:space="preserve"> Art. 63 Abs. </w:t>
      </w:r>
      <w:r w:rsidR="00691924">
        <w:rPr>
          <w:rFonts w:asciiTheme="minorHAnsi" w:hAnsiTheme="minorHAnsi" w:cs="Arial"/>
        </w:rPr>
        <w:t>2</w:t>
      </w:r>
      <w:r w:rsidRPr="005D4C36">
        <w:rPr>
          <w:rFonts w:asciiTheme="minorHAnsi" w:hAnsiTheme="minorHAnsi" w:cs="Arial"/>
        </w:rPr>
        <w:t xml:space="preserve"> VO (EU) Nr. 809/2014:</w:t>
      </w:r>
    </w:p>
    <w:p w:rsidR="008F67BA" w:rsidRDefault="004E5CB6" w:rsidP="0030030D">
      <w:pPr>
        <w:pStyle w:val="Anschrift"/>
        <w:spacing w:before="120"/>
        <w:jc w:val="both"/>
        <w:rPr>
          <w:rFonts w:cs="Arial"/>
          <w:sz w:val="22"/>
          <w:szCs w:val="22"/>
        </w:rPr>
      </w:pPr>
      <w:r>
        <w:rPr>
          <w:rFonts w:cs="Arial"/>
          <w:sz w:val="22"/>
          <w:szCs w:val="22"/>
        </w:rPr>
        <w:t xml:space="preserve">Im Falle </w:t>
      </w:r>
      <w:r w:rsidR="00D032EB" w:rsidRPr="004E5CB6">
        <w:rPr>
          <w:rFonts w:cs="Arial"/>
          <w:sz w:val="22"/>
          <w:szCs w:val="22"/>
        </w:rPr>
        <w:t>eine</w:t>
      </w:r>
      <w:r>
        <w:rPr>
          <w:rFonts w:cs="Arial"/>
          <w:sz w:val="22"/>
          <w:szCs w:val="22"/>
        </w:rPr>
        <w:t>r</w:t>
      </w:r>
      <w:r w:rsidR="00D032EB" w:rsidRPr="004E5CB6">
        <w:rPr>
          <w:rFonts w:cs="Arial"/>
          <w:sz w:val="22"/>
          <w:szCs w:val="22"/>
        </w:rPr>
        <w:t xml:space="preserve"> VOK gelten </w:t>
      </w:r>
      <w:r w:rsidR="005D4C36" w:rsidRPr="004E5CB6">
        <w:rPr>
          <w:rFonts w:cs="Arial"/>
          <w:sz w:val="22"/>
          <w:szCs w:val="22"/>
        </w:rPr>
        <w:t xml:space="preserve">nach Art. 63 Abs. 2 VO (EU) Nr. </w:t>
      </w:r>
      <w:r w:rsidR="00691924">
        <w:rPr>
          <w:rFonts w:cs="Arial"/>
          <w:sz w:val="22"/>
          <w:szCs w:val="22"/>
        </w:rPr>
        <w:t>809/2014</w:t>
      </w:r>
      <w:r w:rsidR="00540CF7">
        <w:rPr>
          <w:rFonts w:cs="Arial"/>
          <w:sz w:val="22"/>
          <w:szCs w:val="22"/>
        </w:rPr>
        <w:t xml:space="preserve"> a. F. für Zahlungsanträge, die vom Begünstigten bis zum 31.12.2017 eingereicht worden sind,</w:t>
      </w:r>
      <w:r w:rsidR="00691924">
        <w:rPr>
          <w:rFonts w:cs="Arial"/>
          <w:sz w:val="22"/>
          <w:szCs w:val="22"/>
        </w:rPr>
        <w:t xml:space="preserve"> </w:t>
      </w:r>
      <w:r w:rsidR="00D032EB" w:rsidRPr="004E5CB6">
        <w:rPr>
          <w:rFonts w:cs="Arial"/>
          <w:sz w:val="22"/>
          <w:szCs w:val="22"/>
        </w:rPr>
        <w:t>besondere Bestimmun</w:t>
      </w:r>
      <w:r>
        <w:rPr>
          <w:rFonts w:cs="Arial"/>
          <w:sz w:val="22"/>
          <w:szCs w:val="22"/>
        </w:rPr>
        <w:t>gen. Im VOK-Fall ist zu unterscheiden, ob über die vorangegangene</w:t>
      </w:r>
      <w:r w:rsidR="007B0C35">
        <w:rPr>
          <w:rFonts w:cs="Arial"/>
          <w:sz w:val="22"/>
          <w:szCs w:val="22"/>
        </w:rPr>
        <w:t>n</w:t>
      </w:r>
      <w:r>
        <w:rPr>
          <w:rFonts w:cs="Arial"/>
          <w:sz w:val="22"/>
          <w:szCs w:val="22"/>
        </w:rPr>
        <w:t xml:space="preserve"> VwK</w:t>
      </w:r>
      <w:r w:rsidR="007B0C35">
        <w:rPr>
          <w:rFonts w:cs="Arial"/>
          <w:sz w:val="22"/>
          <w:szCs w:val="22"/>
        </w:rPr>
        <w:t>-Feststellungen</w:t>
      </w:r>
      <w:r>
        <w:rPr>
          <w:rFonts w:cs="Arial"/>
          <w:sz w:val="22"/>
          <w:szCs w:val="22"/>
        </w:rPr>
        <w:t xml:space="preserve"> des </w:t>
      </w:r>
      <w:r w:rsidR="008F67BA">
        <w:rPr>
          <w:rFonts w:cs="Arial"/>
          <w:sz w:val="22"/>
          <w:szCs w:val="22"/>
        </w:rPr>
        <w:t>akt</w:t>
      </w:r>
      <w:r w:rsidR="008F67BA">
        <w:rPr>
          <w:rFonts w:cs="Arial"/>
          <w:sz w:val="22"/>
          <w:szCs w:val="22"/>
        </w:rPr>
        <w:t>u</w:t>
      </w:r>
      <w:r w:rsidR="008F67BA">
        <w:rPr>
          <w:rFonts w:cs="Arial"/>
          <w:sz w:val="22"/>
          <w:szCs w:val="22"/>
        </w:rPr>
        <w:t xml:space="preserve">ellen </w:t>
      </w:r>
      <w:r>
        <w:rPr>
          <w:rFonts w:cs="Arial"/>
          <w:sz w:val="22"/>
          <w:szCs w:val="22"/>
        </w:rPr>
        <w:t xml:space="preserve">Zahlungsantrages </w:t>
      </w:r>
      <w:r w:rsidR="007B0C35">
        <w:rPr>
          <w:rFonts w:cs="Arial"/>
          <w:sz w:val="22"/>
          <w:szCs w:val="22"/>
        </w:rPr>
        <w:t xml:space="preserve">hinaus </w:t>
      </w:r>
      <w:r w:rsidR="008F67BA">
        <w:rPr>
          <w:rFonts w:cs="Arial"/>
          <w:sz w:val="22"/>
          <w:szCs w:val="22"/>
        </w:rPr>
        <w:t>bei de</w:t>
      </w:r>
      <w:r w:rsidR="00CC7AEB">
        <w:rPr>
          <w:rFonts w:cs="Arial"/>
          <w:sz w:val="22"/>
          <w:szCs w:val="22"/>
        </w:rPr>
        <w:t xml:space="preserve">r VOK selbst noch weitere nicht </w:t>
      </w:r>
      <w:r w:rsidR="008F67BA">
        <w:rPr>
          <w:rFonts w:cs="Arial"/>
          <w:sz w:val="22"/>
          <w:szCs w:val="22"/>
        </w:rPr>
        <w:t>förderfähige Ausgaben festgestellt werden.</w:t>
      </w:r>
      <w:r w:rsidR="00E45D79">
        <w:rPr>
          <w:rFonts w:cs="Arial"/>
          <w:sz w:val="22"/>
          <w:szCs w:val="22"/>
        </w:rPr>
        <w:t xml:space="preserve"> Gegenstand der VOK ist über den aktuellen Zahlungsantrag hinaus das Gesamtvorhaben.</w:t>
      </w:r>
    </w:p>
    <w:p w:rsidR="009D7706" w:rsidRDefault="004E5CB6" w:rsidP="0030030D">
      <w:pPr>
        <w:pStyle w:val="Anschrift"/>
        <w:spacing w:before="120"/>
        <w:jc w:val="both"/>
        <w:rPr>
          <w:rFonts w:cs="Arial"/>
          <w:sz w:val="22"/>
          <w:szCs w:val="22"/>
        </w:rPr>
      </w:pPr>
      <w:r>
        <w:rPr>
          <w:rFonts w:cs="Arial"/>
          <w:sz w:val="22"/>
          <w:szCs w:val="22"/>
        </w:rPr>
        <w:t>Sofern bei einer VOK</w:t>
      </w:r>
      <w:r w:rsidR="00CC7AEB">
        <w:rPr>
          <w:rFonts w:cs="Arial"/>
          <w:sz w:val="22"/>
          <w:szCs w:val="22"/>
        </w:rPr>
        <w:t xml:space="preserve"> selbst nicht </w:t>
      </w:r>
      <w:r w:rsidR="00691924">
        <w:rPr>
          <w:rFonts w:cs="Arial"/>
          <w:sz w:val="22"/>
          <w:szCs w:val="22"/>
        </w:rPr>
        <w:t>förderfähige Ausgaben festgestellt werden</w:t>
      </w:r>
      <w:r>
        <w:rPr>
          <w:rFonts w:cs="Arial"/>
          <w:sz w:val="22"/>
          <w:szCs w:val="22"/>
        </w:rPr>
        <w:t xml:space="preserve">, </w:t>
      </w:r>
      <w:r w:rsidR="00691924">
        <w:rPr>
          <w:rFonts w:cs="Arial"/>
          <w:sz w:val="22"/>
          <w:szCs w:val="22"/>
        </w:rPr>
        <w:t>wird die Sankt</w:t>
      </w:r>
      <w:r w:rsidR="00691924">
        <w:rPr>
          <w:rFonts w:cs="Arial"/>
          <w:sz w:val="22"/>
          <w:szCs w:val="22"/>
        </w:rPr>
        <w:t>i</w:t>
      </w:r>
      <w:r w:rsidR="00691924">
        <w:rPr>
          <w:rFonts w:cs="Arial"/>
          <w:sz w:val="22"/>
          <w:szCs w:val="22"/>
        </w:rPr>
        <w:t>onsberechnung mit der Sanktionsgrenze von 10 % nicht nur auf Grundlage des aktuellen Za</w:t>
      </w:r>
      <w:r w:rsidR="00691924">
        <w:rPr>
          <w:rFonts w:cs="Arial"/>
          <w:sz w:val="22"/>
          <w:szCs w:val="22"/>
        </w:rPr>
        <w:t>h</w:t>
      </w:r>
      <w:r w:rsidR="00691924">
        <w:rPr>
          <w:rFonts w:cs="Arial"/>
          <w:sz w:val="22"/>
          <w:szCs w:val="22"/>
        </w:rPr>
        <w:t xml:space="preserve">lungsantrages, sondern kumuliert auf Grundlage aller </w:t>
      </w:r>
      <w:r w:rsidR="00A35E62">
        <w:rPr>
          <w:rFonts w:cs="Arial"/>
          <w:sz w:val="22"/>
          <w:szCs w:val="22"/>
        </w:rPr>
        <w:t>bisherigen</w:t>
      </w:r>
      <w:r w:rsidR="00691924">
        <w:rPr>
          <w:rFonts w:cs="Arial"/>
          <w:sz w:val="22"/>
          <w:szCs w:val="22"/>
        </w:rPr>
        <w:t>, bereits genehmigte</w:t>
      </w:r>
      <w:r w:rsidR="00A35E62">
        <w:rPr>
          <w:rFonts w:cs="Arial"/>
          <w:sz w:val="22"/>
          <w:szCs w:val="22"/>
        </w:rPr>
        <w:t>n</w:t>
      </w:r>
      <w:r w:rsidR="00691924">
        <w:rPr>
          <w:rFonts w:cs="Arial"/>
          <w:sz w:val="22"/>
          <w:szCs w:val="22"/>
        </w:rPr>
        <w:t xml:space="preserve"> und e</w:t>
      </w:r>
      <w:r w:rsidR="00691924">
        <w:rPr>
          <w:rFonts w:cs="Arial"/>
          <w:sz w:val="22"/>
          <w:szCs w:val="22"/>
        </w:rPr>
        <w:t>r</w:t>
      </w:r>
      <w:r w:rsidR="00691924">
        <w:rPr>
          <w:rFonts w:cs="Arial"/>
          <w:sz w:val="22"/>
          <w:szCs w:val="22"/>
        </w:rPr>
        <w:t>stattet</w:t>
      </w:r>
      <w:r w:rsidR="00A35E62">
        <w:rPr>
          <w:rFonts w:cs="Arial"/>
          <w:sz w:val="22"/>
          <w:szCs w:val="22"/>
        </w:rPr>
        <w:t>en</w:t>
      </w:r>
      <w:r w:rsidR="00691924">
        <w:rPr>
          <w:rFonts w:cs="Arial"/>
          <w:sz w:val="22"/>
          <w:szCs w:val="22"/>
        </w:rPr>
        <w:t xml:space="preserve"> Zahlungsanträge</w:t>
      </w:r>
      <w:r w:rsidR="00556B8A">
        <w:rPr>
          <w:rFonts w:cs="Arial"/>
          <w:sz w:val="22"/>
          <w:szCs w:val="22"/>
        </w:rPr>
        <w:t>, d.h. auf Basis der bisher vorgelegten Gesamtausgaben zum Projekt,</w:t>
      </w:r>
      <w:r w:rsidR="00691924">
        <w:rPr>
          <w:rFonts w:cs="Arial"/>
          <w:sz w:val="22"/>
          <w:szCs w:val="22"/>
        </w:rPr>
        <w:t xml:space="preserve"> vorgenommen</w:t>
      </w:r>
      <w:r w:rsidR="00A35E62">
        <w:rPr>
          <w:rFonts w:cs="Arial"/>
          <w:sz w:val="22"/>
          <w:szCs w:val="22"/>
        </w:rPr>
        <w:t xml:space="preserve">. Dabei wird die Summe der Kürzungen der VwK zu allen (Zwischen)-Zahlungsanträgen und der Kürzung aus der VOK ins Verhältnis gesetzt zu den kumulierten festgestellten </w:t>
      </w:r>
      <w:r w:rsidR="00691924">
        <w:rPr>
          <w:rFonts w:cs="Arial"/>
          <w:sz w:val="22"/>
          <w:szCs w:val="22"/>
        </w:rPr>
        <w:t>Ausgaben des Vorha</w:t>
      </w:r>
      <w:r w:rsidR="00A35E62">
        <w:rPr>
          <w:rFonts w:cs="Arial"/>
          <w:sz w:val="22"/>
          <w:szCs w:val="22"/>
        </w:rPr>
        <w:t>bens.</w:t>
      </w:r>
    </w:p>
    <w:p w:rsidR="00556B8A" w:rsidRDefault="00556B8A" w:rsidP="0030030D">
      <w:pPr>
        <w:pStyle w:val="Anschrift"/>
        <w:spacing w:before="120"/>
        <w:jc w:val="both"/>
        <w:rPr>
          <w:rFonts w:cs="Arial"/>
          <w:sz w:val="22"/>
          <w:szCs w:val="22"/>
        </w:rPr>
      </w:pPr>
      <w:r>
        <w:rPr>
          <w:rFonts w:cs="Arial"/>
          <w:sz w:val="22"/>
          <w:szCs w:val="22"/>
        </w:rPr>
        <w:t>Wenn im Rahmen der VOK keine nicht förderfähigen Ausgaben festgestellt werden, erfolgt ke</w:t>
      </w:r>
      <w:r>
        <w:rPr>
          <w:rFonts w:cs="Arial"/>
          <w:sz w:val="22"/>
          <w:szCs w:val="22"/>
        </w:rPr>
        <w:t>i</w:t>
      </w:r>
      <w:r>
        <w:rPr>
          <w:rFonts w:cs="Arial"/>
          <w:sz w:val="22"/>
          <w:szCs w:val="22"/>
        </w:rPr>
        <w:t>ne kumulierte Betrachtung mit etwaigen vorherigen Zwischenzahlungsanträgen; die Anwendung einer Sanktionierung nach Art. 63 ist dann ausschließlich aufgrund des aktuellen Zahlungsa</w:t>
      </w:r>
      <w:r>
        <w:rPr>
          <w:rFonts w:cs="Arial"/>
          <w:sz w:val="22"/>
          <w:szCs w:val="22"/>
        </w:rPr>
        <w:t>n</w:t>
      </w:r>
      <w:r>
        <w:rPr>
          <w:rFonts w:cs="Arial"/>
          <w:sz w:val="22"/>
          <w:szCs w:val="22"/>
        </w:rPr>
        <w:t xml:space="preserve">trages und dessen Feststellungen aus der VwK zu ermitteln. </w:t>
      </w:r>
    </w:p>
    <w:p w:rsidR="00540CF7" w:rsidRDefault="00540CF7" w:rsidP="0030030D">
      <w:pPr>
        <w:pStyle w:val="Anschrift"/>
        <w:spacing w:before="120"/>
        <w:jc w:val="both"/>
        <w:rPr>
          <w:rFonts w:cs="Arial"/>
          <w:sz w:val="22"/>
          <w:szCs w:val="22"/>
        </w:rPr>
      </w:pPr>
      <w:r>
        <w:rPr>
          <w:rFonts w:cs="Arial"/>
          <w:sz w:val="22"/>
          <w:szCs w:val="22"/>
        </w:rPr>
        <w:t>Ab dem 1.1.2018 entfallen die o. g. besonderen Bestimmungen. Werden bei einer VOK nicht förderfähige Ausgaben festgestellt, wird die Sanktionsberechnung mit der Sanktionsgrenze von 10 %</w:t>
      </w:r>
      <w:r w:rsidR="004C20A1">
        <w:rPr>
          <w:rFonts w:cs="Arial"/>
          <w:sz w:val="22"/>
          <w:szCs w:val="22"/>
        </w:rPr>
        <w:t xml:space="preserve"> dann</w:t>
      </w:r>
      <w:r>
        <w:rPr>
          <w:rFonts w:cs="Arial"/>
          <w:sz w:val="22"/>
          <w:szCs w:val="22"/>
        </w:rPr>
        <w:t xml:space="preserve"> nur auf Grundlage des aktuellen Zahlungsantrages vorgenommen, weil nach Art. 63 Abs. 2 VO (EU) Nr. 809/2014 n. F. die Verwaltungssanktion gem. Art. 63 Abs. 1 VO (EU) Nr. 809/2014 entsprechend für nicht förderfähige Ausgaben gilt, die bei in Art. 49 VO (EU) Nr. 809/2014 genannten Vor-Ort-Kontrollen festgestellt werden.</w:t>
      </w:r>
    </w:p>
    <w:p w:rsidR="009621CD" w:rsidRDefault="009621CD" w:rsidP="0030030D">
      <w:pPr>
        <w:pStyle w:val="Anschrift"/>
        <w:spacing w:before="120"/>
        <w:jc w:val="both"/>
        <w:rPr>
          <w:rFonts w:cs="Arial"/>
          <w:sz w:val="22"/>
          <w:szCs w:val="22"/>
        </w:rPr>
      </w:pPr>
      <w:r>
        <w:rPr>
          <w:rFonts w:cs="Arial"/>
          <w:sz w:val="22"/>
          <w:szCs w:val="22"/>
        </w:rPr>
        <w:t>Die neue Bestimmung gilt für Zahlungsanträge, die vom Begünstigten ab dem 1.1.2018 eing</w:t>
      </w:r>
      <w:r>
        <w:rPr>
          <w:rFonts w:cs="Arial"/>
          <w:sz w:val="22"/>
          <w:szCs w:val="22"/>
        </w:rPr>
        <w:t>e</w:t>
      </w:r>
      <w:r>
        <w:rPr>
          <w:rFonts w:cs="Arial"/>
          <w:sz w:val="22"/>
          <w:szCs w:val="22"/>
        </w:rPr>
        <w:t xml:space="preserve">reicht werden. Wenn nach der Ziehung eines Zahlungsantrages, der vom Begünstigten ab dem 1.1.2018 eingereicht worden ist, das gesamte Vorhaben durch eine Vor-Ort-Kontrolle überprüft wird und zu diesem auch Zahlungsanträge gehören, die bereits vor dem 1.1.2018 eingereicht worden sind, so ist die neue Rechtslage auch auf </w:t>
      </w:r>
      <w:r w:rsidR="004C20A1">
        <w:rPr>
          <w:rFonts w:cs="Arial"/>
          <w:sz w:val="22"/>
          <w:szCs w:val="22"/>
        </w:rPr>
        <w:t>die vor dem 1.1.2018 eingereichten</w:t>
      </w:r>
      <w:r>
        <w:rPr>
          <w:rFonts w:cs="Arial"/>
          <w:sz w:val="22"/>
          <w:szCs w:val="22"/>
        </w:rPr>
        <w:t xml:space="preserve"> Za</w:t>
      </w:r>
      <w:r>
        <w:rPr>
          <w:rFonts w:cs="Arial"/>
          <w:sz w:val="22"/>
          <w:szCs w:val="22"/>
        </w:rPr>
        <w:t>h</w:t>
      </w:r>
      <w:r>
        <w:rPr>
          <w:rFonts w:cs="Arial"/>
          <w:sz w:val="22"/>
          <w:szCs w:val="22"/>
        </w:rPr>
        <w:t>lungsanträge anzuwenden.</w:t>
      </w:r>
    </w:p>
    <w:p w:rsidR="00A35E62" w:rsidRPr="00585004" w:rsidRDefault="00A35E62" w:rsidP="00CC7AEB">
      <w:pPr>
        <w:pStyle w:val="Anschrift"/>
        <w:jc w:val="both"/>
        <w:rPr>
          <w:rFonts w:cs="Arial"/>
          <w:sz w:val="22"/>
          <w:szCs w:val="22"/>
        </w:rPr>
      </w:pPr>
    </w:p>
    <w:p w:rsidR="00A35E62" w:rsidRPr="00A35E62" w:rsidRDefault="008230AA" w:rsidP="006D43D2">
      <w:pPr>
        <w:pStyle w:val="Anschrift"/>
        <w:spacing w:before="60"/>
        <w:rPr>
          <w:rFonts w:cs="Arial"/>
          <w:b/>
          <w:sz w:val="22"/>
          <w:szCs w:val="22"/>
        </w:rPr>
      </w:pPr>
      <w:r>
        <w:rPr>
          <w:rFonts w:cs="Arial"/>
          <w:b/>
          <w:sz w:val="22"/>
          <w:szCs w:val="22"/>
        </w:rPr>
        <w:t>Bewilligungsrechtliche Konsequenzen</w:t>
      </w:r>
      <w:r w:rsidR="00A35E62" w:rsidRPr="00A35E62">
        <w:rPr>
          <w:rFonts w:cs="Arial"/>
          <w:b/>
          <w:sz w:val="22"/>
          <w:szCs w:val="22"/>
        </w:rPr>
        <w:t>:</w:t>
      </w:r>
    </w:p>
    <w:p w:rsidR="00A35E62" w:rsidRDefault="00A35E62" w:rsidP="00DC4692">
      <w:pPr>
        <w:pStyle w:val="Anschrift"/>
        <w:spacing w:before="120"/>
        <w:jc w:val="both"/>
        <w:rPr>
          <w:rFonts w:cs="Arial"/>
          <w:sz w:val="22"/>
          <w:szCs w:val="22"/>
        </w:rPr>
      </w:pPr>
      <w:r>
        <w:rPr>
          <w:rFonts w:cs="Arial"/>
          <w:sz w:val="22"/>
          <w:szCs w:val="22"/>
        </w:rPr>
        <w:t>Sowohl Sanktions- als auch Kürzungsbeträge aus Zw</w:t>
      </w:r>
      <w:r w:rsidR="00556B8A">
        <w:rPr>
          <w:rFonts w:cs="Arial"/>
          <w:sz w:val="22"/>
          <w:szCs w:val="22"/>
        </w:rPr>
        <w:t>ischenzahlungs</w:t>
      </w:r>
      <w:r>
        <w:rPr>
          <w:rFonts w:cs="Arial"/>
          <w:sz w:val="22"/>
          <w:szCs w:val="22"/>
        </w:rPr>
        <w:t xml:space="preserve">anträgen können </w:t>
      </w:r>
      <w:r w:rsidRPr="00DC4692">
        <w:rPr>
          <w:rFonts w:cs="Arial"/>
          <w:sz w:val="22"/>
          <w:szCs w:val="22"/>
        </w:rPr>
        <w:t>nicht</w:t>
      </w:r>
      <w:r>
        <w:rPr>
          <w:rFonts w:cs="Arial"/>
          <w:sz w:val="22"/>
          <w:szCs w:val="22"/>
        </w:rPr>
        <w:t xml:space="preserve"> durch etwaig anfallende, grundsätzlich förderfähige Mehrausgaben</w:t>
      </w:r>
      <w:r w:rsidR="00C173DF">
        <w:rPr>
          <w:rFonts w:cs="Arial"/>
          <w:sz w:val="22"/>
          <w:szCs w:val="22"/>
        </w:rPr>
        <w:t>, die mit nachfolgenden Za</w:t>
      </w:r>
      <w:r w:rsidR="00C173DF">
        <w:rPr>
          <w:rFonts w:cs="Arial"/>
          <w:sz w:val="22"/>
          <w:szCs w:val="22"/>
        </w:rPr>
        <w:t>h</w:t>
      </w:r>
      <w:r w:rsidR="00C173DF">
        <w:rPr>
          <w:rFonts w:cs="Arial"/>
          <w:sz w:val="22"/>
          <w:szCs w:val="22"/>
        </w:rPr>
        <w:t xml:space="preserve">lungsanträgen zum Fördervorhaben vorgelegt werden, </w:t>
      </w:r>
      <w:r w:rsidRPr="00DC4692">
        <w:rPr>
          <w:rFonts w:cs="Arial"/>
          <w:sz w:val="22"/>
          <w:szCs w:val="22"/>
        </w:rPr>
        <w:t>kompensiert werden.</w:t>
      </w:r>
      <w:r>
        <w:rPr>
          <w:rFonts w:cs="Arial"/>
          <w:sz w:val="22"/>
          <w:szCs w:val="22"/>
        </w:rPr>
        <w:t xml:space="preserve"> </w:t>
      </w:r>
      <w:r w:rsidRPr="00DC4692">
        <w:rPr>
          <w:rFonts w:cs="Arial"/>
          <w:b/>
          <w:sz w:val="22"/>
          <w:szCs w:val="22"/>
        </w:rPr>
        <w:t>Der mit Zuwe</w:t>
      </w:r>
      <w:r w:rsidRPr="00DC4692">
        <w:rPr>
          <w:rFonts w:cs="Arial"/>
          <w:b/>
          <w:sz w:val="22"/>
          <w:szCs w:val="22"/>
        </w:rPr>
        <w:t>n</w:t>
      </w:r>
      <w:r w:rsidRPr="00DC4692">
        <w:rPr>
          <w:rFonts w:cs="Arial"/>
          <w:b/>
          <w:sz w:val="22"/>
          <w:szCs w:val="22"/>
        </w:rPr>
        <w:t>dungsbescheid</w:t>
      </w:r>
      <w:r>
        <w:rPr>
          <w:rFonts w:cs="Arial"/>
          <w:sz w:val="22"/>
          <w:szCs w:val="22"/>
        </w:rPr>
        <w:t xml:space="preserve"> </w:t>
      </w:r>
      <w:r w:rsidRPr="00DC4692">
        <w:rPr>
          <w:rFonts w:cs="Arial"/>
          <w:b/>
          <w:sz w:val="22"/>
          <w:szCs w:val="22"/>
        </w:rPr>
        <w:t xml:space="preserve">genehmigte Zuschusshöchstbetrag ist in der Höhe etwaiger Sanktions- </w:t>
      </w:r>
      <w:r w:rsidRPr="00556B8A">
        <w:rPr>
          <w:rFonts w:cs="Arial"/>
          <w:b/>
          <w:sz w:val="22"/>
          <w:szCs w:val="22"/>
          <w:u w:val="single"/>
        </w:rPr>
        <w:t>und</w:t>
      </w:r>
      <w:r w:rsidRPr="00DC4692">
        <w:rPr>
          <w:rFonts w:cs="Arial"/>
          <w:b/>
          <w:sz w:val="22"/>
          <w:szCs w:val="22"/>
        </w:rPr>
        <w:t xml:space="preserve"> Kürzungsbeträge zu mindern (Teil-</w:t>
      </w:r>
      <w:r w:rsidR="00EA320E">
        <w:rPr>
          <w:rFonts w:cs="Arial"/>
          <w:b/>
          <w:sz w:val="22"/>
          <w:szCs w:val="22"/>
        </w:rPr>
        <w:t>Aufhebung</w:t>
      </w:r>
      <w:r w:rsidRPr="00DC4692">
        <w:rPr>
          <w:rFonts w:cs="Arial"/>
          <w:b/>
          <w:sz w:val="22"/>
          <w:szCs w:val="22"/>
        </w:rPr>
        <w:t>)</w:t>
      </w:r>
      <w:r>
        <w:rPr>
          <w:rFonts w:cs="Arial"/>
          <w:sz w:val="22"/>
          <w:szCs w:val="22"/>
        </w:rPr>
        <w:t xml:space="preserve">. </w:t>
      </w:r>
    </w:p>
    <w:p w:rsidR="0030030D" w:rsidRDefault="00C173DF" w:rsidP="006D43D2">
      <w:pPr>
        <w:pStyle w:val="Anschrift"/>
        <w:spacing w:before="120"/>
        <w:jc w:val="both"/>
        <w:rPr>
          <w:rFonts w:cs="Arial"/>
          <w:sz w:val="22"/>
          <w:szCs w:val="22"/>
        </w:rPr>
      </w:pPr>
      <w:r>
        <w:rPr>
          <w:rFonts w:cs="Arial"/>
          <w:sz w:val="22"/>
          <w:szCs w:val="22"/>
        </w:rPr>
        <w:t xml:space="preserve">Rechtsgrundlage für die </w:t>
      </w:r>
      <w:r w:rsidR="008230AA">
        <w:rPr>
          <w:rFonts w:cs="Arial"/>
          <w:sz w:val="22"/>
          <w:szCs w:val="22"/>
        </w:rPr>
        <w:t>Reduzierung</w:t>
      </w:r>
      <w:r>
        <w:rPr>
          <w:rFonts w:cs="Arial"/>
          <w:sz w:val="22"/>
          <w:szCs w:val="22"/>
        </w:rPr>
        <w:t xml:space="preserve"> des Zuschusshöchstbetrages in Höhe der Kürzungs- und Sanktionsbeträge ist Art. 56</w:t>
      </w:r>
      <w:r w:rsidR="00A91840">
        <w:rPr>
          <w:rFonts w:cs="Arial"/>
          <w:sz w:val="22"/>
          <w:szCs w:val="22"/>
        </w:rPr>
        <w:t xml:space="preserve"> VO (EU) Nr. 1306/2013. Danach dürfen Beträge, die auf Unrege</w:t>
      </w:r>
      <w:r w:rsidR="00A91840">
        <w:rPr>
          <w:rFonts w:cs="Arial"/>
          <w:sz w:val="22"/>
          <w:szCs w:val="22"/>
        </w:rPr>
        <w:t>l</w:t>
      </w:r>
      <w:r w:rsidR="00A91840">
        <w:rPr>
          <w:rFonts w:cs="Arial"/>
          <w:sz w:val="22"/>
          <w:szCs w:val="22"/>
        </w:rPr>
        <w:t>mäßigkeiten und Versäumnisse zurückzuführen sind und zu entsprechenden finanziellen B</w:t>
      </w:r>
      <w:r w:rsidR="00A91840">
        <w:rPr>
          <w:rFonts w:cs="Arial"/>
          <w:sz w:val="22"/>
          <w:szCs w:val="22"/>
        </w:rPr>
        <w:t>e</w:t>
      </w:r>
      <w:r w:rsidR="00A91840">
        <w:rPr>
          <w:rFonts w:cs="Arial"/>
          <w:sz w:val="22"/>
          <w:szCs w:val="22"/>
        </w:rPr>
        <w:t xml:space="preserve">richtigungen führen (gestrichene Mittel), nicht bei dem betreffenden Vorhaben wieder verwendet werden. </w:t>
      </w:r>
      <w:r w:rsidR="00556B8A">
        <w:rPr>
          <w:rFonts w:cs="Arial"/>
          <w:sz w:val="22"/>
          <w:szCs w:val="22"/>
        </w:rPr>
        <w:t>D</w:t>
      </w:r>
      <w:r w:rsidR="00A91840">
        <w:rPr>
          <w:rFonts w:cs="Arial"/>
          <w:sz w:val="22"/>
          <w:szCs w:val="22"/>
        </w:rPr>
        <w:t xml:space="preserve">ie EU-Kommission </w:t>
      </w:r>
      <w:r w:rsidR="00556B8A">
        <w:rPr>
          <w:rFonts w:cs="Arial"/>
          <w:sz w:val="22"/>
          <w:szCs w:val="22"/>
        </w:rPr>
        <w:t xml:space="preserve">hat </w:t>
      </w:r>
      <w:r w:rsidR="00A91840">
        <w:rPr>
          <w:rFonts w:cs="Arial"/>
          <w:sz w:val="22"/>
          <w:szCs w:val="22"/>
        </w:rPr>
        <w:t>ausdrücklich bestätigt, dass die Wirkung von Kürzungen in einem Zahlungsantrag und Verwaltungssanktionen im Endeffekt nicht durch die Geltendm</w:t>
      </w:r>
      <w:r w:rsidR="00A91840">
        <w:rPr>
          <w:rFonts w:cs="Arial"/>
          <w:sz w:val="22"/>
          <w:szCs w:val="22"/>
        </w:rPr>
        <w:t>a</w:t>
      </w:r>
      <w:r w:rsidR="00A91840">
        <w:rPr>
          <w:rFonts w:cs="Arial"/>
          <w:sz w:val="22"/>
          <w:szCs w:val="22"/>
        </w:rPr>
        <w:t xml:space="preserve">chung weiterer Ausgaben annulliert werden darf; </w:t>
      </w:r>
      <w:r w:rsidR="00C963F4">
        <w:rPr>
          <w:rFonts w:cs="Arial"/>
          <w:sz w:val="22"/>
          <w:szCs w:val="22"/>
        </w:rPr>
        <w:t xml:space="preserve">es muss </w:t>
      </w:r>
      <w:r w:rsidR="00A91840">
        <w:rPr>
          <w:rFonts w:cs="Arial"/>
          <w:sz w:val="22"/>
          <w:szCs w:val="22"/>
        </w:rPr>
        <w:t>vielmehr zwingend zu der o.g. Ve</w:t>
      </w:r>
      <w:r w:rsidR="00A91840">
        <w:rPr>
          <w:rFonts w:cs="Arial"/>
          <w:sz w:val="22"/>
          <w:szCs w:val="22"/>
        </w:rPr>
        <w:t>r</w:t>
      </w:r>
      <w:r w:rsidR="00A91840">
        <w:rPr>
          <w:rFonts w:cs="Arial"/>
          <w:sz w:val="22"/>
          <w:szCs w:val="22"/>
        </w:rPr>
        <w:t xml:space="preserve">ringerung der genehmigten </w:t>
      </w:r>
      <w:r w:rsidR="00DC4692">
        <w:rPr>
          <w:rFonts w:cs="Arial"/>
          <w:sz w:val="22"/>
          <w:szCs w:val="22"/>
        </w:rPr>
        <w:t>Zuwendung führen.</w:t>
      </w:r>
    </w:p>
    <w:p w:rsidR="00585004" w:rsidRDefault="00585004" w:rsidP="006D43D2">
      <w:pPr>
        <w:pStyle w:val="Anschrift"/>
        <w:spacing w:before="120"/>
        <w:jc w:val="both"/>
        <w:rPr>
          <w:rFonts w:cs="Arial"/>
          <w:sz w:val="22"/>
          <w:szCs w:val="22"/>
        </w:rPr>
      </w:pPr>
    </w:p>
    <w:p w:rsidR="006D43D2" w:rsidRPr="004E5CB6" w:rsidRDefault="006D43D2" w:rsidP="006D43D2">
      <w:pPr>
        <w:pStyle w:val="Anschrift"/>
        <w:jc w:val="both"/>
        <w:rPr>
          <w:rFonts w:cs="Arial"/>
          <w:sz w:val="22"/>
          <w:szCs w:val="22"/>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40"/>
        <w:gridCol w:w="4458"/>
      </w:tblGrid>
      <w:tr w:rsidR="00CC7AEB" w:rsidRPr="003F7B61" w:rsidTr="00202AC8">
        <w:trPr>
          <w:trHeight w:val="418"/>
        </w:trPr>
        <w:tc>
          <w:tcPr>
            <w:tcW w:w="949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C7AEB" w:rsidRPr="00530494" w:rsidRDefault="00CC7AEB" w:rsidP="00CC7AEB">
            <w:pPr>
              <w:jc w:val="center"/>
              <w:rPr>
                <w:rFonts w:asciiTheme="minorHAnsi" w:hAnsiTheme="minorHAnsi"/>
                <w:sz w:val="22"/>
                <w:szCs w:val="22"/>
              </w:rPr>
            </w:pPr>
            <w:r>
              <w:rPr>
                <w:rFonts w:asciiTheme="minorHAnsi" w:hAnsiTheme="minorHAnsi"/>
                <w:sz w:val="22"/>
                <w:szCs w:val="22"/>
              </w:rPr>
              <w:t>Schematische Übersicht über Kürzungen und Sanktionen nach Artikel 63 VO (EU) Nr. 809/2014</w:t>
            </w:r>
          </w:p>
        </w:tc>
      </w:tr>
      <w:tr w:rsidR="00CC7AEB" w:rsidRPr="003F7B61" w:rsidTr="00B90DEB">
        <w:trPr>
          <w:trHeight w:val="567"/>
        </w:trPr>
        <w:tc>
          <w:tcPr>
            <w:tcW w:w="50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C7AEB" w:rsidRPr="00CC7AEB" w:rsidRDefault="00CC7AEB" w:rsidP="00CC7AEB">
            <w:pPr>
              <w:rPr>
                <w:rFonts w:asciiTheme="minorHAnsi" w:hAnsiTheme="minorHAnsi"/>
                <w:sz w:val="20"/>
                <w:szCs w:val="20"/>
              </w:rPr>
            </w:pPr>
            <w:r>
              <w:rPr>
                <w:rFonts w:asciiTheme="minorHAnsi" w:hAnsiTheme="minorHAnsi"/>
                <w:sz w:val="20"/>
                <w:szCs w:val="20"/>
              </w:rPr>
              <w:t>F</w:t>
            </w:r>
            <w:r w:rsidRPr="00CC7AEB">
              <w:rPr>
                <w:rFonts w:asciiTheme="minorHAnsi" w:hAnsiTheme="minorHAnsi"/>
                <w:sz w:val="20"/>
                <w:szCs w:val="20"/>
              </w:rPr>
              <w:t xml:space="preserve">eststellungen </w:t>
            </w:r>
            <w:r>
              <w:rPr>
                <w:rFonts w:asciiTheme="minorHAnsi" w:hAnsiTheme="minorHAnsi"/>
                <w:sz w:val="20"/>
                <w:szCs w:val="20"/>
              </w:rPr>
              <w:t xml:space="preserve">im Rahmen der </w:t>
            </w:r>
            <w:r w:rsidRPr="00CC7AEB">
              <w:rPr>
                <w:rFonts w:asciiTheme="minorHAnsi" w:hAnsiTheme="minorHAnsi"/>
                <w:sz w:val="20"/>
                <w:szCs w:val="20"/>
              </w:rPr>
              <w:t xml:space="preserve">Verwaltungskontrolle bzw. </w:t>
            </w:r>
            <w:r>
              <w:rPr>
                <w:rFonts w:asciiTheme="minorHAnsi" w:hAnsiTheme="minorHAnsi"/>
                <w:sz w:val="20"/>
                <w:szCs w:val="20"/>
              </w:rPr>
              <w:t xml:space="preserve">der </w:t>
            </w:r>
            <w:r w:rsidRPr="00CC7AEB">
              <w:rPr>
                <w:rFonts w:asciiTheme="minorHAnsi" w:hAnsiTheme="minorHAnsi"/>
                <w:sz w:val="20"/>
                <w:szCs w:val="20"/>
              </w:rPr>
              <w:t>Vor-Ort-Kontrolle</w:t>
            </w:r>
          </w:p>
        </w:tc>
        <w:tc>
          <w:tcPr>
            <w:tcW w:w="445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C7AEB" w:rsidRPr="00CC7AEB" w:rsidRDefault="00CC7AEB" w:rsidP="002828A1">
            <w:pPr>
              <w:rPr>
                <w:rFonts w:asciiTheme="minorHAnsi" w:hAnsiTheme="minorHAnsi"/>
                <w:sz w:val="20"/>
                <w:szCs w:val="20"/>
              </w:rPr>
            </w:pPr>
            <w:r w:rsidRPr="00CC7AEB">
              <w:rPr>
                <w:rFonts w:asciiTheme="minorHAnsi" w:hAnsiTheme="minorHAnsi"/>
                <w:sz w:val="20"/>
                <w:szCs w:val="20"/>
              </w:rPr>
              <w:t>Rechtsfolgen nach Artikel 63 VO (EU) Nr. 809/2014</w:t>
            </w:r>
          </w:p>
        </w:tc>
      </w:tr>
      <w:tr w:rsidR="00CC7AEB" w:rsidRPr="003F7B61" w:rsidTr="00B90DEB">
        <w:trPr>
          <w:trHeight w:val="1121"/>
        </w:trPr>
        <w:tc>
          <w:tcPr>
            <w:tcW w:w="5040" w:type="dxa"/>
            <w:tcBorders>
              <w:top w:val="single" w:sz="4" w:space="0" w:color="auto"/>
              <w:left w:val="single" w:sz="4" w:space="0" w:color="auto"/>
              <w:bottom w:val="single" w:sz="4" w:space="0" w:color="auto"/>
              <w:right w:val="single" w:sz="4" w:space="0" w:color="auto"/>
            </w:tcBorders>
          </w:tcPr>
          <w:p w:rsidR="00CC7AEB" w:rsidRPr="00530494" w:rsidRDefault="00CC7AEB" w:rsidP="00CF7324">
            <w:pPr>
              <w:spacing w:before="60"/>
              <w:rPr>
                <w:rFonts w:asciiTheme="minorHAnsi" w:hAnsiTheme="minorHAnsi"/>
                <w:b/>
                <w:sz w:val="22"/>
                <w:szCs w:val="22"/>
              </w:rPr>
            </w:pPr>
            <w:r w:rsidRPr="00530494">
              <w:rPr>
                <w:rFonts w:asciiTheme="minorHAnsi" w:hAnsiTheme="minorHAnsi"/>
                <w:b/>
                <w:sz w:val="22"/>
                <w:szCs w:val="22"/>
              </w:rPr>
              <w:t>Verwaltungskontrolle:</w:t>
            </w:r>
          </w:p>
          <w:p w:rsidR="00CC7AEB" w:rsidRPr="00530494" w:rsidRDefault="00CC7AEB" w:rsidP="00D63EF1">
            <w:pPr>
              <w:spacing w:before="60" w:after="60"/>
              <w:rPr>
                <w:rFonts w:asciiTheme="minorHAnsi" w:hAnsiTheme="minorHAnsi"/>
                <w:b/>
                <w:sz w:val="22"/>
                <w:szCs w:val="22"/>
              </w:rPr>
            </w:pPr>
            <w:r w:rsidRPr="00530494">
              <w:rPr>
                <w:rFonts w:asciiTheme="minorHAnsi" w:hAnsiTheme="minorHAnsi"/>
                <w:sz w:val="20"/>
                <w:szCs w:val="20"/>
              </w:rPr>
              <w:t xml:space="preserve">Die Prüfung des Auszahlungsantrags ergibt eine Differenz zwischen beantragtem und festgestelltem Betrag von bis zu </w:t>
            </w:r>
            <w:r w:rsidRPr="00530494">
              <w:rPr>
                <w:rFonts w:asciiTheme="minorHAnsi" w:hAnsiTheme="minorHAnsi"/>
                <w:b/>
                <w:sz w:val="20"/>
                <w:szCs w:val="20"/>
              </w:rPr>
              <w:t>10,00 %</w:t>
            </w:r>
            <w:r w:rsidRPr="00530494">
              <w:rPr>
                <w:rFonts w:asciiTheme="minorHAnsi" w:hAnsiTheme="minorHAnsi"/>
                <w:sz w:val="20"/>
                <w:szCs w:val="20"/>
              </w:rPr>
              <w:t>.</w:t>
            </w:r>
          </w:p>
        </w:tc>
        <w:tc>
          <w:tcPr>
            <w:tcW w:w="4458" w:type="dxa"/>
            <w:tcBorders>
              <w:top w:val="single" w:sz="4" w:space="0" w:color="auto"/>
              <w:left w:val="single" w:sz="4" w:space="0" w:color="auto"/>
              <w:bottom w:val="single" w:sz="4" w:space="0" w:color="auto"/>
              <w:right w:val="single" w:sz="4" w:space="0" w:color="auto"/>
            </w:tcBorders>
          </w:tcPr>
          <w:p w:rsidR="00CC7AEB" w:rsidRPr="00530494" w:rsidRDefault="00CC7AEB" w:rsidP="00B90DEB">
            <w:pPr>
              <w:spacing w:after="120"/>
              <w:ind w:left="72"/>
              <w:rPr>
                <w:rFonts w:asciiTheme="minorHAnsi" w:hAnsiTheme="minorHAnsi"/>
                <w:sz w:val="20"/>
                <w:szCs w:val="20"/>
              </w:rPr>
            </w:pPr>
          </w:p>
          <w:p w:rsidR="00CC7AEB" w:rsidRPr="00530494" w:rsidRDefault="00CC7AEB" w:rsidP="00CF7324">
            <w:pPr>
              <w:spacing w:before="60"/>
              <w:ind w:left="72"/>
              <w:rPr>
                <w:rFonts w:asciiTheme="minorHAnsi" w:hAnsiTheme="minorHAnsi"/>
                <w:sz w:val="22"/>
                <w:szCs w:val="22"/>
              </w:rPr>
            </w:pPr>
            <w:r w:rsidRPr="00530494">
              <w:rPr>
                <w:rFonts w:asciiTheme="minorHAnsi" w:hAnsiTheme="minorHAnsi"/>
                <w:sz w:val="20"/>
                <w:szCs w:val="20"/>
              </w:rPr>
              <w:t xml:space="preserve">Einfache </w:t>
            </w:r>
            <w:r w:rsidRPr="00530494">
              <w:rPr>
                <w:rFonts w:asciiTheme="minorHAnsi" w:hAnsiTheme="minorHAnsi"/>
                <w:b/>
                <w:sz w:val="20"/>
                <w:szCs w:val="20"/>
              </w:rPr>
              <w:t xml:space="preserve">Kürzung </w:t>
            </w:r>
            <w:r w:rsidRPr="00530494">
              <w:rPr>
                <w:rFonts w:asciiTheme="minorHAnsi" w:hAnsiTheme="minorHAnsi"/>
                <w:sz w:val="20"/>
                <w:szCs w:val="20"/>
              </w:rPr>
              <w:t xml:space="preserve">der Differenz </w:t>
            </w:r>
            <w:r>
              <w:rPr>
                <w:rFonts w:asciiTheme="minorHAnsi" w:hAnsiTheme="minorHAnsi"/>
                <w:sz w:val="20"/>
                <w:szCs w:val="20"/>
              </w:rPr>
              <w:t>nach</w:t>
            </w:r>
            <w:r w:rsidRPr="00530494">
              <w:rPr>
                <w:rFonts w:asciiTheme="minorHAnsi" w:hAnsiTheme="minorHAnsi"/>
                <w:sz w:val="20"/>
                <w:szCs w:val="20"/>
              </w:rPr>
              <w:t xml:space="preserve"> Art</w:t>
            </w:r>
            <w:r>
              <w:rPr>
                <w:rFonts w:asciiTheme="minorHAnsi" w:hAnsiTheme="minorHAnsi"/>
                <w:sz w:val="20"/>
                <w:szCs w:val="20"/>
              </w:rPr>
              <w:t>.</w:t>
            </w:r>
            <w:r w:rsidRPr="00530494">
              <w:rPr>
                <w:rFonts w:asciiTheme="minorHAnsi" w:hAnsiTheme="minorHAnsi"/>
                <w:sz w:val="20"/>
                <w:szCs w:val="20"/>
              </w:rPr>
              <w:t xml:space="preserve"> 63 Absatz 1 </w:t>
            </w:r>
            <w:r>
              <w:rPr>
                <w:rFonts w:asciiTheme="minorHAnsi" w:hAnsiTheme="minorHAnsi"/>
                <w:sz w:val="20"/>
                <w:szCs w:val="20"/>
              </w:rPr>
              <w:t xml:space="preserve">Satz 1 </w:t>
            </w:r>
            <w:r w:rsidRPr="00530494">
              <w:rPr>
                <w:rFonts w:asciiTheme="minorHAnsi" w:hAnsiTheme="minorHAnsi"/>
                <w:sz w:val="20"/>
                <w:szCs w:val="20"/>
              </w:rPr>
              <w:t>VO (EU) Nr. 809/2014</w:t>
            </w:r>
            <w:r>
              <w:rPr>
                <w:rFonts w:asciiTheme="minorHAnsi" w:hAnsiTheme="minorHAnsi"/>
                <w:sz w:val="20"/>
                <w:szCs w:val="20"/>
              </w:rPr>
              <w:t>.</w:t>
            </w:r>
          </w:p>
        </w:tc>
      </w:tr>
      <w:tr w:rsidR="00CC7AEB" w:rsidRPr="003F7B61" w:rsidTr="00B90DEB">
        <w:tc>
          <w:tcPr>
            <w:tcW w:w="5040" w:type="dxa"/>
            <w:tcBorders>
              <w:top w:val="single" w:sz="4" w:space="0" w:color="auto"/>
              <w:left w:val="single" w:sz="4" w:space="0" w:color="auto"/>
              <w:bottom w:val="single" w:sz="4" w:space="0" w:color="auto"/>
              <w:right w:val="single" w:sz="4" w:space="0" w:color="auto"/>
            </w:tcBorders>
          </w:tcPr>
          <w:p w:rsidR="00CC7AEB" w:rsidRPr="00530494" w:rsidRDefault="00CC7AEB" w:rsidP="00CF7324">
            <w:pPr>
              <w:spacing w:before="60"/>
              <w:rPr>
                <w:rFonts w:asciiTheme="minorHAnsi" w:hAnsiTheme="minorHAnsi"/>
                <w:sz w:val="20"/>
                <w:szCs w:val="20"/>
              </w:rPr>
            </w:pPr>
            <w:r w:rsidRPr="00530494">
              <w:rPr>
                <w:rFonts w:asciiTheme="minorHAnsi" w:hAnsiTheme="minorHAnsi"/>
                <w:sz w:val="20"/>
                <w:szCs w:val="20"/>
              </w:rPr>
              <w:t xml:space="preserve">Die Prüfung des Auszahlungsantrags ergibt eine Differenz zwischen festgestelltem und beantragtem Betrag von mehr als </w:t>
            </w:r>
            <w:r w:rsidRPr="00530494">
              <w:rPr>
                <w:rFonts w:asciiTheme="minorHAnsi" w:hAnsiTheme="minorHAnsi"/>
                <w:b/>
                <w:sz w:val="20"/>
                <w:szCs w:val="20"/>
              </w:rPr>
              <w:t>10,00 %</w:t>
            </w:r>
            <w:r w:rsidRPr="00530494">
              <w:rPr>
                <w:rFonts w:asciiTheme="minorHAnsi" w:hAnsiTheme="minorHAnsi"/>
                <w:sz w:val="20"/>
                <w:szCs w:val="20"/>
              </w:rPr>
              <w:t>.</w:t>
            </w:r>
          </w:p>
        </w:tc>
        <w:tc>
          <w:tcPr>
            <w:tcW w:w="4458" w:type="dxa"/>
            <w:tcBorders>
              <w:top w:val="single" w:sz="4" w:space="0" w:color="auto"/>
              <w:left w:val="single" w:sz="4" w:space="0" w:color="auto"/>
              <w:bottom w:val="single" w:sz="4" w:space="0" w:color="auto"/>
              <w:right w:val="single" w:sz="4" w:space="0" w:color="auto"/>
            </w:tcBorders>
          </w:tcPr>
          <w:p w:rsidR="00CC7AEB" w:rsidRPr="00530494" w:rsidRDefault="00556B8A" w:rsidP="00BD02FA">
            <w:pPr>
              <w:spacing w:before="60" w:after="60"/>
              <w:rPr>
                <w:rFonts w:asciiTheme="minorHAnsi" w:hAnsiTheme="minorHAnsi"/>
                <w:sz w:val="20"/>
                <w:szCs w:val="20"/>
              </w:rPr>
            </w:pPr>
            <w:r>
              <w:rPr>
                <w:rFonts w:asciiTheme="minorHAnsi" w:hAnsiTheme="minorHAnsi"/>
                <w:sz w:val="20"/>
                <w:szCs w:val="20"/>
              </w:rPr>
              <w:t>Z</w:t>
            </w:r>
            <w:r w:rsidR="00CC7AEB" w:rsidRPr="00530494">
              <w:rPr>
                <w:rFonts w:asciiTheme="minorHAnsi" w:hAnsiTheme="minorHAnsi"/>
                <w:sz w:val="20"/>
                <w:szCs w:val="20"/>
              </w:rPr>
              <w:t xml:space="preserve">usätzlich zur Kürzung </w:t>
            </w:r>
            <w:r>
              <w:rPr>
                <w:rFonts w:asciiTheme="minorHAnsi" w:hAnsiTheme="minorHAnsi"/>
                <w:sz w:val="20"/>
                <w:szCs w:val="20"/>
              </w:rPr>
              <w:t xml:space="preserve">erfolgt </w:t>
            </w:r>
            <w:r w:rsidR="00CC7AEB">
              <w:rPr>
                <w:rFonts w:asciiTheme="minorHAnsi" w:hAnsiTheme="minorHAnsi"/>
                <w:sz w:val="20"/>
                <w:szCs w:val="20"/>
              </w:rPr>
              <w:t xml:space="preserve">ein weiterer Abzug </w:t>
            </w:r>
            <w:r w:rsidR="00CC7AEB" w:rsidRPr="00530494">
              <w:rPr>
                <w:rFonts w:asciiTheme="minorHAnsi" w:hAnsiTheme="minorHAnsi"/>
                <w:sz w:val="20"/>
                <w:szCs w:val="20"/>
              </w:rPr>
              <w:t xml:space="preserve">als </w:t>
            </w:r>
            <w:r w:rsidR="00CC7AEB" w:rsidRPr="00530494">
              <w:rPr>
                <w:rFonts w:asciiTheme="minorHAnsi" w:hAnsiTheme="minorHAnsi"/>
                <w:b/>
                <w:sz w:val="20"/>
                <w:szCs w:val="20"/>
              </w:rPr>
              <w:t>Verwaltungssanktion</w:t>
            </w:r>
            <w:r w:rsidR="00CC7AEB" w:rsidRPr="00530494">
              <w:rPr>
                <w:rFonts w:asciiTheme="minorHAnsi" w:hAnsiTheme="minorHAnsi"/>
                <w:sz w:val="20"/>
                <w:szCs w:val="20"/>
              </w:rPr>
              <w:t xml:space="preserve"> </w:t>
            </w:r>
            <w:r w:rsidR="00CC7AEB">
              <w:rPr>
                <w:rFonts w:asciiTheme="minorHAnsi" w:hAnsiTheme="minorHAnsi"/>
                <w:sz w:val="20"/>
                <w:szCs w:val="20"/>
              </w:rPr>
              <w:t>in Höhe des</w:t>
            </w:r>
            <w:r w:rsidR="00CC7AEB" w:rsidRPr="00530494">
              <w:rPr>
                <w:rFonts w:asciiTheme="minorHAnsi" w:hAnsiTheme="minorHAnsi"/>
                <w:sz w:val="20"/>
                <w:szCs w:val="20"/>
              </w:rPr>
              <w:t xml:space="preserve"> Differenzbetr</w:t>
            </w:r>
            <w:r w:rsidR="00CC7AEB" w:rsidRPr="00530494">
              <w:rPr>
                <w:rFonts w:asciiTheme="minorHAnsi" w:hAnsiTheme="minorHAnsi"/>
                <w:sz w:val="20"/>
                <w:szCs w:val="20"/>
              </w:rPr>
              <w:t>a</w:t>
            </w:r>
            <w:r w:rsidR="00CC7AEB" w:rsidRPr="00530494">
              <w:rPr>
                <w:rFonts w:asciiTheme="minorHAnsi" w:hAnsiTheme="minorHAnsi"/>
                <w:sz w:val="20"/>
                <w:szCs w:val="20"/>
              </w:rPr>
              <w:t>g</w:t>
            </w:r>
            <w:r w:rsidR="00CC7AEB">
              <w:rPr>
                <w:rFonts w:asciiTheme="minorHAnsi" w:hAnsiTheme="minorHAnsi"/>
                <w:sz w:val="20"/>
                <w:szCs w:val="20"/>
              </w:rPr>
              <w:t>es nach Art</w:t>
            </w:r>
            <w:r w:rsidR="00CC7AEB" w:rsidRPr="00530494">
              <w:rPr>
                <w:rFonts w:asciiTheme="minorHAnsi" w:hAnsiTheme="minorHAnsi"/>
                <w:sz w:val="20"/>
                <w:szCs w:val="20"/>
              </w:rPr>
              <w:t>.</w:t>
            </w:r>
            <w:r w:rsidR="00CC7AEB">
              <w:rPr>
                <w:rFonts w:asciiTheme="minorHAnsi" w:hAnsiTheme="minorHAnsi"/>
                <w:sz w:val="20"/>
                <w:szCs w:val="20"/>
              </w:rPr>
              <w:t xml:space="preserve"> 63 Absatz 1 Satz 3und 4 VO (EU) Nr. 809/2014.</w:t>
            </w:r>
          </w:p>
        </w:tc>
      </w:tr>
      <w:tr w:rsidR="00CC7AEB" w:rsidRPr="003F7B61" w:rsidTr="00B90DEB">
        <w:trPr>
          <w:trHeight w:val="789"/>
        </w:trPr>
        <w:tc>
          <w:tcPr>
            <w:tcW w:w="5040" w:type="dxa"/>
            <w:tcBorders>
              <w:top w:val="single" w:sz="4" w:space="0" w:color="auto"/>
              <w:left w:val="single" w:sz="4" w:space="0" w:color="auto"/>
              <w:bottom w:val="single" w:sz="4" w:space="0" w:color="auto"/>
              <w:right w:val="single" w:sz="4" w:space="0" w:color="auto"/>
            </w:tcBorders>
          </w:tcPr>
          <w:p w:rsidR="00CC7AEB" w:rsidRPr="00CF7324" w:rsidRDefault="00CC7AEB" w:rsidP="00CF7324">
            <w:pPr>
              <w:spacing w:before="60"/>
              <w:rPr>
                <w:rFonts w:asciiTheme="minorHAnsi" w:hAnsiTheme="minorHAnsi"/>
                <w:b/>
                <w:sz w:val="22"/>
                <w:szCs w:val="22"/>
              </w:rPr>
            </w:pPr>
            <w:r w:rsidRPr="00CF7324">
              <w:rPr>
                <w:rFonts w:asciiTheme="minorHAnsi" w:hAnsiTheme="minorHAnsi"/>
                <w:b/>
                <w:sz w:val="22"/>
                <w:szCs w:val="22"/>
              </w:rPr>
              <w:t>Vor-Ort-Kontrolle:</w:t>
            </w:r>
          </w:p>
          <w:p w:rsidR="00CC7AEB" w:rsidRPr="00530494" w:rsidRDefault="00CC7AEB" w:rsidP="00CC7AEB">
            <w:pPr>
              <w:spacing w:before="60"/>
              <w:rPr>
                <w:rFonts w:asciiTheme="minorHAnsi" w:hAnsiTheme="minorHAnsi"/>
                <w:sz w:val="20"/>
                <w:szCs w:val="20"/>
              </w:rPr>
            </w:pPr>
            <w:r>
              <w:rPr>
                <w:rFonts w:asciiTheme="minorHAnsi" w:hAnsiTheme="minorHAnsi"/>
                <w:sz w:val="20"/>
                <w:szCs w:val="20"/>
              </w:rPr>
              <w:t>Bei der</w:t>
            </w:r>
            <w:r w:rsidRPr="00CF7324">
              <w:rPr>
                <w:rFonts w:asciiTheme="minorHAnsi" w:hAnsiTheme="minorHAnsi"/>
                <w:sz w:val="20"/>
                <w:szCs w:val="20"/>
              </w:rPr>
              <w:t xml:space="preserve"> Vor-Ort-Kontrolle selbst </w:t>
            </w:r>
            <w:r>
              <w:rPr>
                <w:rFonts w:asciiTheme="minorHAnsi" w:hAnsiTheme="minorHAnsi"/>
                <w:sz w:val="20"/>
                <w:szCs w:val="20"/>
              </w:rPr>
              <w:t>wurden keine nicht förde</w:t>
            </w:r>
            <w:r>
              <w:rPr>
                <w:rFonts w:asciiTheme="minorHAnsi" w:hAnsiTheme="minorHAnsi"/>
                <w:sz w:val="20"/>
                <w:szCs w:val="20"/>
              </w:rPr>
              <w:t>r</w:t>
            </w:r>
            <w:r>
              <w:rPr>
                <w:rFonts w:asciiTheme="minorHAnsi" w:hAnsiTheme="minorHAnsi"/>
                <w:sz w:val="20"/>
                <w:szCs w:val="20"/>
              </w:rPr>
              <w:t>fähigen Ausgaben festgestellt.</w:t>
            </w:r>
          </w:p>
        </w:tc>
        <w:tc>
          <w:tcPr>
            <w:tcW w:w="4458" w:type="dxa"/>
            <w:tcBorders>
              <w:top w:val="single" w:sz="4" w:space="0" w:color="auto"/>
              <w:left w:val="single" w:sz="4" w:space="0" w:color="auto"/>
              <w:bottom w:val="single" w:sz="4" w:space="0" w:color="auto"/>
              <w:right w:val="single" w:sz="4" w:space="0" w:color="auto"/>
            </w:tcBorders>
          </w:tcPr>
          <w:p w:rsidR="00CC7AEB" w:rsidRPr="00530494" w:rsidRDefault="00CC7AEB" w:rsidP="007D2DD1">
            <w:pPr>
              <w:spacing w:before="120" w:after="60"/>
              <w:rPr>
                <w:rFonts w:asciiTheme="minorHAnsi" w:hAnsiTheme="minorHAnsi"/>
                <w:sz w:val="20"/>
                <w:szCs w:val="20"/>
              </w:rPr>
            </w:pPr>
            <w:r w:rsidRPr="00530494">
              <w:rPr>
                <w:rFonts w:asciiTheme="minorHAnsi" w:hAnsiTheme="minorHAnsi"/>
                <w:sz w:val="20"/>
                <w:szCs w:val="20"/>
              </w:rPr>
              <w:t xml:space="preserve">Es gelten die </w:t>
            </w:r>
            <w:r w:rsidR="00F55152">
              <w:rPr>
                <w:rFonts w:asciiTheme="minorHAnsi" w:hAnsiTheme="minorHAnsi"/>
                <w:sz w:val="20"/>
                <w:szCs w:val="20"/>
              </w:rPr>
              <w:t>Bestimmungen</w:t>
            </w:r>
            <w:r w:rsidRPr="00530494">
              <w:rPr>
                <w:rFonts w:asciiTheme="minorHAnsi" w:hAnsiTheme="minorHAnsi"/>
                <w:sz w:val="20"/>
                <w:szCs w:val="20"/>
              </w:rPr>
              <w:t xml:space="preserve"> </w:t>
            </w:r>
            <w:r>
              <w:rPr>
                <w:rFonts w:asciiTheme="minorHAnsi" w:hAnsiTheme="minorHAnsi"/>
                <w:sz w:val="20"/>
                <w:szCs w:val="20"/>
              </w:rPr>
              <w:t xml:space="preserve">und Rechtsfolgen </w:t>
            </w:r>
            <w:r w:rsidRPr="00530494">
              <w:rPr>
                <w:rFonts w:asciiTheme="minorHAnsi" w:hAnsiTheme="minorHAnsi"/>
                <w:sz w:val="20"/>
                <w:szCs w:val="20"/>
              </w:rPr>
              <w:t xml:space="preserve">für </w:t>
            </w:r>
            <w:r w:rsidR="00F55152">
              <w:rPr>
                <w:rFonts w:asciiTheme="minorHAnsi" w:hAnsiTheme="minorHAnsi"/>
                <w:sz w:val="20"/>
                <w:szCs w:val="20"/>
              </w:rPr>
              <w:t>Kürzungen und Sanktionen</w:t>
            </w:r>
            <w:r>
              <w:rPr>
                <w:rFonts w:asciiTheme="minorHAnsi" w:hAnsiTheme="minorHAnsi"/>
                <w:sz w:val="20"/>
                <w:szCs w:val="20"/>
              </w:rPr>
              <w:t xml:space="preserve"> bei </w:t>
            </w:r>
            <w:r w:rsidRPr="00530494">
              <w:rPr>
                <w:rFonts w:asciiTheme="minorHAnsi" w:hAnsiTheme="minorHAnsi"/>
                <w:sz w:val="20"/>
                <w:szCs w:val="20"/>
              </w:rPr>
              <w:t>V</w:t>
            </w:r>
            <w:r>
              <w:rPr>
                <w:rFonts w:asciiTheme="minorHAnsi" w:hAnsiTheme="minorHAnsi"/>
                <w:sz w:val="20"/>
                <w:szCs w:val="20"/>
              </w:rPr>
              <w:t>erwaltungskontro</w:t>
            </w:r>
            <w:r>
              <w:rPr>
                <w:rFonts w:asciiTheme="minorHAnsi" w:hAnsiTheme="minorHAnsi"/>
                <w:sz w:val="20"/>
                <w:szCs w:val="20"/>
              </w:rPr>
              <w:t>l</w:t>
            </w:r>
            <w:r>
              <w:rPr>
                <w:rFonts w:asciiTheme="minorHAnsi" w:hAnsiTheme="minorHAnsi"/>
                <w:sz w:val="20"/>
                <w:szCs w:val="20"/>
              </w:rPr>
              <w:t>len nach Art. 63 Absatz 1 VO (EU) Nr. 809/2014</w:t>
            </w:r>
            <w:r w:rsidR="007D2DD1">
              <w:rPr>
                <w:rFonts w:asciiTheme="minorHAnsi" w:hAnsiTheme="minorHAnsi"/>
                <w:sz w:val="20"/>
                <w:szCs w:val="20"/>
              </w:rPr>
              <w:t xml:space="preserve">. Es erfolgt </w:t>
            </w:r>
            <w:r w:rsidR="007D2DD1" w:rsidRPr="007D2DD1">
              <w:rPr>
                <w:rFonts w:asciiTheme="minorHAnsi" w:hAnsiTheme="minorHAnsi"/>
                <w:sz w:val="20"/>
                <w:szCs w:val="20"/>
                <w:u w:val="single"/>
              </w:rPr>
              <w:t>keine</w:t>
            </w:r>
            <w:r w:rsidR="007D2DD1">
              <w:rPr>
                <w:rFonts w:asciiTheme="minorHAnsi" w:hAnsiTheme="minorHAnsi"/>
                <w:sz w:val="20"/>
                <w:szCs w:val="20"/>
              </w:rPr>
              <w:t xml:space="preserve"> kumulierte Betrachtung des Gesam</w:t>
            </w:r>
            <w:r w:rsidR="007D2DD1">
              <w:rPr>
                <w:rFonts w:asciiTheme="minorHAnsi" w:hAnsiTheme="minorHAnsi"/>
                <w:sz w:val="20"/>
                <w:szCs w:val="20"/>
              </w:rPr>
              <w:t>t</w:t>
            </w:r>
            <w:r w:rsidR="007D2DD1">
              <w:rPr>
                <w:rFonts w:asciiTheme="minorHAnsi" w:hAnsiTheme="minorHAnsi"/>
                <w:sz w:val="20"/>
                <w:szCs w:val="20"/>
              </w:rPr>
              <w:t>vorhabens; eine etwaige Sanktionierung wird au</w:t>
            </w:r>
            <w:r w:rsidR="007D2DD1">
              <w:rPr>
                <w:rFonts w:asciiTheme="minorHAnsi" w:hAnsiTheme="minorHAnsi"/>
                <w:sz w:val="20"/>
                <w:szCs w:val="20"/>
              </w:rPr>
              <w:t>s</w:t>
            </w:r>
            <w:r w:rsidR="007D2DD1">
              <w:rPr>
                <w:rFonts w:asciiTheme="minorHAnsi" w:hAnsiTheme="minorHAnsi"/>
                <w:sz w:val="20"/>
                <w:szCs w:val="20"/>
              </w:rPr>
              <w:t>schließlich anhand des aktuellen Zahlungsantrages ermittelt.</w:t>
            </w:r>
          </w:p>
        </w:tc>
      </w:tr>
      <w:tr w:rsidR="00CC7AEB" w:rsidRPr="003F7B61" w:rsidTr="00B90DEB">
        <w:tc>
          <w:tcPr>
            <w:tcW w:w="5040" w:type="dxa"/>
            <w:tcBorders>
              <w:top w:val="single" w:sz="4" w:space="0" w:color="auto"/>
              <w:left w:val="single" w:sz="4" w:space="0" w:color="auto"/>
              <w:bottom w:val="single" w:sz="4" w:space="0" w:color="auto"/>
              <w:right w:val="single" w:sz="4" w:space="0" w:color="auto"/>
            </w:tcBorders>
          </w:tcPr>
          <w:p w:rsidR="00CC7AEB" w:rsidRPr="00530494" w:rsidRDefault="00CC7AEB" w:rsidP="00F55152">
            <w:pPr>
              <w:spacing w:before="60"/>
              <w:rPr>
                <w:rFonts w:asciiTheme="minorHAnsi" w:hAnsiTheme="minorHAnsi"/>
                <w:sz w:val="20"/>
                <w:szCs w:val="20"/>
              </w:rPr>
            </w:pPr>
            <w:r w:rsidRPr="00F55152">
              <w:rPr>
                <w:rFonts w:asciiTheme="minorHAnsi" w:hAnsiTheme="minorHAnsi"/>
                <w:sz w:val="20"/>
                <w:szCs w:val="20"/>
              </w:rPr>
              <w:t>Bei der Vor-Ort-Kontrolle werden nicht förderfähige Au</w:t>
            </w:r>
            <w:r w:rsidRPr="00F55152">
              <w:rPr>
                <w:rFonts w:asciiTheme="minorHAnsi" w:hAnsiTheme="minorHAnsi"/>
                <w:sz w:val="20"/>
                <w:szCs w:val="20"/>
              </w:rPr>
              <w:t>s</w:t>
            </w:r>
            <w:r w:rsidRPr="00F55152">
              <w:rPr>
                <w:rFonts w:asciiTheme="minorHAnsi" w:hAnsiTheme="minorHAnsi"/>
                <w:sz w:val="20"/>
                <w:szCs w:val="20"/>
              </w:rPr>
              <w:t>gaben festgestellt</w:t>
            </w:r>
            <w:r>
              <w:rPr>
                <w:rFonts w:asciiTheme="minorHAnsi" w:hAnsiTheme="minorHAnsi"/>
                <w:sz w:val="20"/>
                <w:szCs w:val="20"/>
              </w:rPr>
              <w:t>.</w:t>
            </w:r>
          </w:p>
        </w:tc>
        <w:tc>
          <w:tcPr>
            <w:tcW w:w="4458" w:type="dxa"/>
            <w:tcBorders>
              <w:top w:val="single" w:sz="4" w:space="0" w:color="auto"/>
              <w:left w:val="single" w:sz="4" w:space="0" w:color="auto"/>
              <w:bottom w:val="single" w:sz="4" w:space="0" w:color="auto"/>
              <w:right w:val="single" w:sz="4" w:space="0" w:color="auto"/>
            </w:tcBorders>
          </w:tcPr>
          <w:p w:rsidR="00F55152" w:rsidRPr="00530494" w:rsidRDefault="00F55152" w:rsidP="00034F9A">
            <w:pPr>
              <w:spacing w:before="60" w:after="60"/>
              <w:rPr>
                <w:rFonts w:asciiTheme="minorHAnsi" w:hAnsiTheme="minorHAnsi"/>
                <w:sz w:val="20"/>
                <w:szCs w:val="20"/>
              </w:rPr>
            </w:pPr>
            <w:r>
              <w:rPr>
                <w:rFonts w:asciiTheme="minorHAnsi" w:hAnsiTheme="minorHAnsi"/>
                <w:sz w:val="20"/>
                <w:szCs w:val="20"/>
              </w:rPr>
              <w:t xml:space="preserve">Kürzungen und Verwaltungssanktion werden auf Basis des Gesamtvorhabens (aktueller und bisherige Zahlungsanträge) </w:t>
            </w:r>
            <w:r w:rsidRPr="00F55152">
              <w:rPr>
                <w:rFonts w:asciiTheme="minorHAnsi" w:hAnsiTheme="minorHAnsi"/>
                <w:b/>
                <w:sz w:val="20"/>
                <w:szCs w:val="20"/>
              </w:rPr>
              <w:t>kumuliert</w:t>
            </w:r>
            <w:r>
              <w:rPr>
                <w:rFonts w:asciiTheme="minorHAnsi" w:hAnsiTheme="minorHAnsi"/>
                <w:sz w:val="20"/>
                <w:szCs w:val="20"/>
              </w:rPr>
              <w:t xml:space="preserve"> nach Art. 63 Absatz 2 VO (EU) Nr. 809/2014 betrachtet.</w:t>
            </w:r>
          </w:p>
        </w:tc>
      </w:tr>
    </w:tbl>
    <w:p w:rsidR="00D3517C" w:rsidRDefault="00D3517C" w:rsidP="00D3517C">
      <w:pPr>
        <w:pStyle w:val="Anschrift"/>
        <w:spacing w:before="120"/>
        <w:ind w:left="1080"/>
        <w:rPr>
          <w:rFonts w:cs="Arial"/>
          <w:b/>
          <w:sz w:val="22"/>
          <w:szCs w:val="22"/>
        </w:rPr>
      </w:pPr>
    </w:p>
    <w:p w:rsidR="00D3517C" w:rsidRPr="00D3517C" w:rsidRDefault="00D3517C" w:rsidP="00D3517C">
      <w:pPr>
        <w:pStyle w:val="Anschrift"/>
        <w:spacing w:before="120"/>
        <w:ind w:left="1080"/>
        <w:rPr>
          <w:rFonts w:cs="Arial"/>
          <w:b/>
          <w:sz w:val="22"/>
          <w:szCs w:val="22"/>
        </w:rPr>
      </w:pPr>
    </w:p>
    <w:p w:rsidR="00AD66A7" w:rsidRPr="00324E22" w:rsidRDefault="00AD66A7" w:rsidP="00D3517C">
      <w:pPr>
        <w:pStyle w:val="Anschrift"/>
        <w:numPr>
          <w:ilvl w:val="0"/>
          <w:numId w:val="6"/>
        </w:numPr>
        <w:spacing w:before="120"/>
        <w:rPr>
          <w:rFonts w:asciiTheme="minorHAnsi" w:hAnsiTheme="minorHAnsi"/>
          <w:b/>
          <w:sz w:val="28"/>
          <w:szCs w:val="28"/>
        </w:rPr>
      </w:pPr>
      <w:r w:rsidRPr="00324E22">
        <w:rPr>
          <w:rFonts w:asciiTheme="minorHAnsi" w:hAnsiTheme="minorHAnsi"/>
          <w:b/>
          <w:sz w:val="28"/>
          <w:szCs w:val="28"/>
        </w:rPr>
        <w:t xml:space="preserve">Sanktionen </w:t>
      </w:r>
      <w:r>
        <w:rPr>
          <w:rFonts w:asciiTheme="minorHAnsi" w:hAnsiTheme="minorHAnsi"/>
          <w:b/>
          <w:sz w:val="28"/>
          <w:szCs w:val="28"/>
        </w:rPr>
        <w:t xml:space="preserve">nach Artikel </w:t>
      </w:r>
      <w:r w:rsidRPr="00324E22">
        <w:rPr>
          <w:rFonts w:asciiTheme="minorHAnsi" w:hAnsiTheme="minorHAnsi"/>
          <w:b/>
          <w:sz w:val="28"/>
          <w:szCs w:val="28"/>
        </w:rPr>
        <w:t>3</w:t>
      </w:r>
      <w:r>
        <w:rPr>
          <w:rFonts w:asciiTheme="minorHAnsi" w:hAnsiTheme="minorHAnsi"/>
          <w:b/>
          <w:sz w:val="28"/>
          <w:szCs w:val="28"/>
        </w:rPr>
        <w:t>5 VO (EU) Nr. 640</w:t>
      </w:r>
      <w:r w:rsidRPr="00324E22">
        <w:rPr>
          <w:rFonts w:asciiTheme="minorHAnsi" w:hAnsiTheme="minorHAnsi"/>
          <w:b/>
          <w:sz w:val="28"/>
          <w:szCs w:val="28"/>
        </w:rPr>
        <w:t>/2014:</w:t>
      </w:r>
    </w:p>
    <w:p w:rsidR="00CB1B51" w:rsidRDefault="00CB1B51" w:rsidP="00AD66A7">
      <w:pPr>
        <w:pStyle w:val="Anschrift"/>
        <w:spacing w:before="120" w:after="120"/>
        <w:rPr>
          <w:rFonts w:cs="Arial"/>
          <w:sz w:val="22"/>
          <w:szCs w:val="22"/>
        </w:rPr>
      </w:pPr>
    </w:p>
    <w:p w:rsidR="00AD66A7" w:rsidRPr="00807E8C" w:rsidRDefault="00AD66A7" w:rsidP="00AD66A7">
      <w:pPr>
        <w:pStyle w:val="Anschrift"/>
        <w:spacing w:before="120" w:after="120"/>
        <w:rPr>
          <w:rFonts w:cs="Arial"/>
          <w:sz w:val="22"/>
          <w:szCs w:val="22"/>
        </w:rPr>
      </w:pPr>
      <w:r w:rsidRPr="00324E22">
        <w:rPr>
          <w:rFonts w:cs="Arial"/>
          <w:sz w:val="22"/>
          <w:szCs w:val="22"/>
        </w:rPr>
        <w:t>Art</w:t>
      </w:r>
      <w:r>
        <w:rPr>
          <w:rFonts w:cs="Arial"/>
          <w:sz w:val="22"/>
          <w:szCs w:val="22"/>
        </w:rPr>
        <w:t xml:space="preserve">ikel </w:t>
      </w:r>
      <w:r w:rsidRPr="00324E22">
        <w:rPr>
          <w:rFonts w:cs="Arial"/>
          <w:sz w:val="22"/>
          <w:szCs w:val="22"/>
        </w:rPr>
        <w:t>3</w:t>
      </w:r>
      <w:r>
        <w:rPr>
          <w:rFonts w:cs="Arial"/>
          <w:sz w:val="22"/>
          <w:szCs w:val="22"/>
        </w:rPr>
        <w:t xml:space="preserve">5 VO (EU) Nr. 640/2014 regelt die Rechtsfolgen bei </w:t>
      </w:r>
      <w:r w:rsidRPr="00AD66A7">
        <w:rPr>
          <w:rFonts w:cs="Arial"/>
          <w:b/>
          <w:sz w:val="22"/>
          <w:szCs w:val="22"/>
        </w:rPr>
        <w:t>Verstößen gegen Förderkriterien, Verpflichtungen und Auflagen</w:t>
      </w:r>
      <w:r w:rsidR="00807E8C">
        <w:rPr>
          <w:rFonts w:cs="Arial"/>
          <w:sz w:val="22"/>
          <w:szCs w:val="22"/>
        </w:rPr>
        <w:t>, die im Rahmen von Verwaltungskontrollen, Vor-Ort-Kontrollen und/oder Ex-post-Kontrollen festgestellt werden</w:t>
      </w:r>
      <w:r w:rsidRPr="00AD66A7">
        <w:rPr>
          <w:rFonts w:cs="Arial"/>
          <w:b/>
          <w:sz w:val="22"/>
          <w:szCs w:val="22"/>
        </w:rPr>
        <w:t xml:space="preserve">. </w:t>
      </w:r>
      <w:r w:rsidR="00807E8C">
        <w:rPr>
          <w:rFonts w:cs="Arial"/>
          <w:sz w:val="22"/>
          <w:szCs w:val="22"/>
        </w:rPr>
        <w:t>Die Verstöße gegen Förderkriterien, Verpflic</w:t>
      </w:r>
      <w:r w:rsidR="00807E8C">
        <w:rPr>
          <w:rFonts w:cs="Arial"/>
          <w:sz w:val="22"/>
          <w:szCs w:val="22"/>
        </w:rPr>
        <w:t>h</w:t>
      </w:r>
      <w:r w:rsidR="00807E8C">
        <w:rPr>
          <w:rFonts w:cs="Arial"/>
          <w:sz w:val="22"/>
          <w:szCs w:val="22"/>
        </w:rPr>
        <w:t xml:space="preserve">tungen und Auflagen betreffen nicht die Förderfähigkeit von Ausgaben. </w:t>
      </w:r>
    </w:p>
    <w:p w:rsidR="00AD66A7" w:rsidRDefault="00AD66A7" w:rsidP="00AD66A7">
      <w:pPr>
        <w:pStyle w:val="Anschrift"/>
        <w:spacing w:before="120" w:after="120"/>
        <w:rPr>
          <w:rFonts w:cs="Arial"/>
          <w:sz w:val="22"/>
          <w:szCs w:val="22"/>
        </w:rPr>
      </w:pPr>
    </w:p>
    <w:p w:rsidR="00AD66A7" w:rsidRPr="00691924" w:rsidRDefault="00CE0E66" w:rsidP="00AD66A7">
      <w:pPr>
        <w:pStyle w:val="Anschrift"/>
        <w:numPr>
          <w:ilvl w:val="0"/>
          <w:numId w:val="10"/>
        </w:numPr>
        <w:spacing w:before="120"/>
        <w:rPr>
          <w:rFonts w:asciiTheme="minorHAnsi" w:hAnsiTheme="minorHAnsi" w:cs="Arial"/>
        </w:rPr>
      </w:pPr>
      <w:r>
        <w:rPr>
          <w:rFonts w:asciiTheme="minorHAnsi" w:hAnsiTheme="minorHAnsi" w:cs="Arial"/>
        </w:rPr>
        <w:t xml:space="preserve">Verstoß gegen </w:t>
      </w:r>
      <w:r w:rsidR="00827F79">
        <w:rPr>
          <w:rFonts w:asciiTheme="minorHAnsi" w:hAnsiTheme="minorHAnsi" w:cs="Arial"/>
        </w:rPr>
        <w:t>Förderkriterien n</w:t>
      </w:r>
      <w:r w:rsidR="007D2DD1">
        <w:rPr>
          <w:rFonts w:asciiTheme="minorHAnsi" w:hAnsiTheme="minorHAnsi" w:cs="Arial"/>
        </w:rPr>
        <w:t>ach</w:t>
      </w:r>
      <w:r w:rsidR="00827F79">
        <w:rPr>
          <w:rFonts w:asciiTheme="minorHAnsi" w:hAnsiTheme="minorHAnsi" w:cs="Arial"/>
        </w:rPr>
        <w:t xml:space="preserve"> Art. </w:t>
      </w:r>
      <w:r w:rsidR="00AD66A7" w:rsidRPr="00691924">
        <w:rPr>
          <w:rFonts w:asciiTheme="minorHAnsi" w:hAnsiTheme="minorHAnsi" w:cs="Arial"/>
        </w:rPr>
        <w:t>3</w:t>
      </w:r>
      <w:r w:rsidR="00827F79">
        <w:rPr>
          <w:rFonts w:asciiTheme="minorHAnsi" w:hAnsiTheme="minorHAnsi" w:cs="Arial"/>
        </w:rPr>
        <w:t>5</w:t>
      </w:r>
      <w:r w:rsidR="00AD66A7" w:rsidRPr="00691924">
        <w:rPr>
          <w:rFonts w:asciiTheme="minorHAnsi" w:hAnsiTheme="minorHAnsi" w:cs="Arial"/>
        </w:rPr>
        <w:t xml:space="preserve"> Abs. 1 VO (EU) Nr. </w:t>
      </w:r>
      <w:r w:rsidR="00827F79">
        <w:rPr>
          <w:rFonts w:asciiTheme="minorHAnsi" w:hAnsiTheme="minorHAnsi" w:cs="Arial"/>
        </w:rPr>
        <w:t>64</w:t>
      </w:r>
      <w:r w:rsidR="00AD66A7" w:rsidRPr="00691924">
        <w:rPr>
          <w:rFonts w:asciiTheme="minorHAnsi" w:hAnsiTheme="minorHAnsi" w:cs="Arial"/>
        </w:rPr>
        <w:t>0/2014:</w:t>
      </w:r>
    </w:p>
    <w:p w:rsidR="00E72625" w:rsidRDefault="00E72625" w:rsidP="00585004">
      <w:pPr>
        <w:pStyle w:val="Anschrift"/>
        <w:spacing w:before="120"/>
        <w:jc w:val="both"/>
        <w:rPr>
          <w:rFonts w:cs="Arial"/>
          <w:sz w:val="22"/>
          <w:szCs w:val="22"/>
        </w:rPr>
      </w:pPr>
      <w:r>
        <w:rPr>
          <w:rFonts w:cs="Arial"/>
          <w:sz w:val="22"/>
          <w:szCs w:val="22"/>
        </w:rPr>
        <w:t xml:space="preserve">Förderkriterien </w:t>
      </w:r>
      <w:r w:rsidR="00D3517C">
        <w:rPr>
          <w:rFonts w:cs="Arial"/>
          <w:sz w:val="22"/>
          <w:szCs w:val="22"/>
        </w:rPr>
        <w:t xml:space="preserve">(Fördervoraussetzungen) </w:t>
      </w:r>
      <w:r>
        <w:rPr>
          <w:rFonts w:cs="Arial"/>
          <w:sz w:val="22"/>
          <w:szCs w:val="22"/>
        </w:rPr>
        <w:t xml:space="preserve">sind entweder als Ausschlusskriterium (bspw. </w:t>
      </w:r>
      <w:r w:rsidR="000128B2">
        <w:rPr>
          <w:rFonts w:cs="Arial"/>
          <w:sz w:val="22"/>
          <w:szCs w:val="22"/>
        </w:rPr>
        <w:t>Förde</w:t>
      </w:r>
      <w:r w:rsidR="000128B2">
        <w:rPr>
          <w:rFonts w:cs="Arial"/>
          <w:sz w:val="22"/>
          <w:szCs w:val="22"/>
        </w:rPr>
        <w:t>r</w:t>
      </w:r>
      <w:r w:rsidR="000128B2">
        <w:rPr>
          <w:rFonts w:cs="Arial"/>
          <w:sz w:val="22"/>
          <w:szCs w:val="22"/>
        </w:rPr>
        <w:t xml:space="preserve">ausschluss bei </w:t>
      </w:r>
      <w:r>
        <w:rPr>
          <w:rFonts w:cs="Arial"/>
          <w:sz w:val="22"/>
          <w:szCs w:val="22"/>
        </w:rPr>
        <w:t>Überschreiten von Prosperitätsgrenzen) oder als Einschlusskriterium (bspw. Belegenheit in der Fördergebietskulisse) durch EU-Verordnungen</w:t>
      </w:r>
      <w:r w:rsidR="00D3517C">
        <w:rPr>
          <w:rFonts w:cs="Arial"/>
          <w:sz w:val="22"/>
          <w:szCs w:val="22"/>
        </w:rPr>
        <w:t>,</w:t>
      </w:r>
      <w:r>
        <w:rPr>
          <w:rFonts w:cs="Arial"/>
          <w:sz w:val="22"/>
          <w:szCs w:val="22"/>
        </w:rPr>
        <w:t xml:space="preserve"> </w:t>
      </w:r>
      <w:r w:rsidR="007D2DD1">
        <w:rPr>
          <w:rFonts w:cs="Arial"/>
          <w:sz w:val="22"/>
          <w:szCs w:val="22"/>
        </w:rPr>
        <w:t>durch den Bund</w:t>
      </w:r>
      <w:r w:rsidR="008230AA">
        <w:rPr>
          <w:rFonts w:cs="Arial"/>
          <w:sz w:val="22"/>
          <w:szCs w:val="22"/>
        </w:rPr>
        <w:t xml:space="preserve"> sowie</w:t>
      </w:r>
      <w:r w:rsidR="000128B2">
        <w:rPr>
          <w:rFonts w:cs="Arial"/>
          <w:sz w:val="22"/>
          <w:szCs w:val="22"/>
        </w:rPr>
        <w:t xml:space="preserve"> </w:t>
      </w:r>
      <w:r>
        <w:rPr>
          <w:rFonts w:cs="Arial"/>
          <w:sz w:val="22"/>
          <w:szCs w:val="22"/>
        </w:rPr>
        <w:t>d</w:t>
      </w:r>
      <w:r w:rsidR="006C115D">
        <w:rPr>
          <w:rFonts w:cs="Arial"/>
          <w:sz w:val="22"/>
          <w:szCs w:val="22"/>
        </w:rPr>
        <w:t xml:space="preserve">as Land Schleswig-Holstein </w:t>
      </w:r>
      <w:r w:rsidR="000128B2">
        <w:rPr>
          <w:rFonts w:cs="Arial"/>
          <w:sz w:val="22"/>
          <w:szCs w:val="22"/>
        </w:rPr>
        <w:t xml:space="preserve">im Rahmen des Landesprogrammes Ländlicher Raum 2014 – 2020 </w:t>
      </w:r>
      <w:r w:rsidR="00712735">
        <w:rPr>
          <w:rFonts w:cs="Arial"/>
          <w:sz w:val="22"/>
          <w:szCs w:val="22"/>
        </w:rPr>
        <w:t xml:space="preserve">auf der Ebene der Fördermaßnahme </w:t>
      </w:r>
      <w:r w:rsidR="000128B2">
        <w:rPr>
          <w:rFonts w:cs="Arial"/>
          <w:sz w:val="22"/>
          <w:szCs w:val="22"/>
        </w:rPr>
        <w:t>festgelegt</w:t>
      </w:r>
      <w:r w:rsidR="006C115D">
        <w:rPr>
          <w:rFonts w:cs="Arial"/>
          <w:sz w:val="22"/>
          <w:szCs w:val="22"/>
        </w:rPr>
        <w:t xml:space="preserve"> worden</w:t>
      </w:r>
      <w:r w:rsidR="000128B2">
        <w:rPr>
          <w:rFonts w:cs="Arial"/>
          <w:sz w:val="22"/>
          <w:szCs w:val="22"/>
        </w:rPr>
        <w:t>.</w:t>
      </w:r>
      <w:r w:rsidR="00D3517C">
        <w:rPr>
          <w:rFonts w:cs="Arial"/>
          <w:sz w:val="22"/>
          <w:szCs w:val="22"/>
        </w:rPr>
        <w:t xml:space="preserve"> </w:t>
      </w:r>
      <w:r w:rsidR="000128B2" w:rsidRPr="00365EB1">
        <w:rPr>
          <w:rFonts w:cs="Arial"/>
          <w:b/>
          <w:sz w:val="22"/>
          <w:szCs w:val="22"/>
        </w:rPr>
        <w:t>Förderkriterien</w:t>
      </w:r>
      <w:r w:rsidR="000128B2">
        <w:rPr>
          <w:rFonts w:cs="Arial"/>
          <w:sz w:val="22"/>
          <w:szCs w:val="22"/>
        </w:rPr>
        <w:t xml:space="preserve"> </w:t>
      </w:r>
      <w:r w:rsidR="000128B2" w:rsidRPr="00365EB1">
        <w:rPr>
          <w:rFonts w:cs="Arial"/>
          <w:b/>
          <w:sz w:val="22"/>
          <w:szCs w:val="22"/>
        </w:rPr>
        <w:t xml:space="preserve">sind </w:t>
      </w:r>
      <w:r w:rsidRPr="00365EB1">
        <w:rPr>
          <w:rFonts w:cs="Arial"/>
          <w:b/>
          <w:sz w:val="22"/>
          <w:szCs w:val="22"/>
        </w:rPr>
        <w:t xml:space="preserve">grundsätzlich </w:t>
      </w:r>
      <w:r w:rsidR="00365EB1" w:rsidRPr="00365EB1">
        <w:rPr>
          <w:rFonts w:cs="Arial"/>
          <w:b/>
          <w:sz w:val="22"/>
          <w:szCs w:val="22"/>
        </w:rPr>
        <w:t xml:space="preserve">in vollem Umfang </w:t>
      </w:r>
      <w:r w:rsidRPr="00365EB1">
        <w:rPr>
          <w:rFonts w:cs="Arial"/>
          <w:b/>
          <w:sz w:val="22"/>
          <w:szCs w:val="22"/>
        </w:rPr>
        <w:t>zu erfüllen</w:t>
      </w:r>
      <w:r>
        <w:rPr>
          <w:rFonts w:cs="Arial"/>
          <w:sz w:val="22"/>
          <w:szCs w:val="22"/>
        </w:rPr>
        <w:t xml:space="preserve">. Die Prüfung von Förderkriterien kann nur ein </w:t>
      </w:r>
      <w:r w:rsidR="00A01D9B">
        <w:rPr>
          <w:rFonts w:cs="Arial"/>
          <w:sz w:val="22"/>
          <w:szCs w:val="22"/>
        </w:rPr>
        <w:t>„</w:t>
      </w:r>
      <w:r>
        <w:rPr>
          <w:rFonts w:cs="Arial"/>
          <w:sz w:val="22"/>
          <w:szCs w:val="22"/>
        </w:rPr>
        <w:t>erfüllt</w:t>
      </w:r>
      <w:r w:rsidR="00A01D9B">
        <w:rPr>
          <w:rFonts w:cs="Arial"/>
          <w:sz w:val="22"/>
          <w:szCs w:val="22"/>
        </w:rPr>
        <w:t>“</w:t>
      </w:r>
      <w:r>
        <w:rPr>
          <w:rFonts w:cs="Arial"/>
          <w:sz w:val="22"/>
          <w:szCs w:val="22"/>
        </w:rPr>
        <w:t xml:space="preserve"> oder </w:t>
      </w:r>
      <w:r w:rsidR="00A01D9B">
        <w:rPr>
          <w:rFonts w:cs="Arial"/>
          <w:sz w:val="22"/>
          <w:szCs w:val="22"/>
        </w:rPr>
        <w:t>„</w:t>
      </w:r>
      <w:r>
        <w:rPr>
          <w:rFonts w:cs="Arial"/>
          <w:sz w:val="22"/>
          <w:szCs w:val="22"/>
        </w:rPr>
        <w:t>nicht erfüllt</w:t>
      </w:r>
      <w:r w:rsidR="00A01D9B">
        <w:rPr>
          <w:rFonts w:cs="Arial"/>
          <w:sz w:val="22"/>
          <w:szCs w:val="22"/>
        </w:rPr>
        <w:t>“</w:t>
      </w:r>
      <w:r>
        <w:rPr>
          <w:rFonts w:cs="Arial"/>
          <w:sz w:val="22"/>
          <w:szCs w:val="22"/>
        </w:rPr>
        <w:t xml:space="preserve"> ergeben. </w:t>
      </w:r>
    </w:p>
    <w:p w:rsidR="008E1DB1" w:rsidRDefault="00E72625" w:rsidP="00585004">
      <w:pPr>
        <w:pStyle w:val="Anschrift"/>
        <w:spacing w:before="120"/>
        <w:jc w:val="both"/>
        <w:rPr>
          <w:rFonts w:cs="Arial"/>
          <w:sz w:val="22"/>
          <w:szCs w:val="22"/>
        </w:rPr>
      </w:pPr>
      <w:r>
        <w:rPr>
          <w:rFonts w:cs="Arial"/>
          <w:sz w:val="22"/>
          <w:szCs w:val="22"/>
        </w:rPr>
        <w:t>W</w:t>
      </w:r>
      <w:r w:rsidR="00827F79">
        <w:rPr>
          <w:rFonts w:cs="Arial"/>
          <w:sz w:val="22"/>
          <w:szCs w:val="22"/>
        </w:rPr>
        <w:t xml:space="preserve">enn Förderkriterien nicht </w:t>
      </w:r>
      <w:r>
        <w:rPr>
          <w:rFonts w:cs="Arial"/>
          <w:sz w:val="22"/>
          <w:szCs w:val="22"/>
        </w:rPr>
        <w:t xml:space="preserve">oder </w:t>
      </w:r>
      <w:r w:rsidR="000128B2">
        <w:rPr>
          <w:rFonts w:cs="Arial"/>
          <w:sz w:val="22"/>
          <w:szCs w:val="22"/>
        </w:rPr>
        <w:t>nur un</w:t>
      </w:r>
      <w:r>
        <w:rPr>
          <w:rFonts w:cs="Arial"/>
          <w:sz w:val="22"/>
          <w:szCs w:val="22"/>
        </w:rPr>
        <w:t xml:space="preserve">vollständig </w:t>
      </w:r>
      <w:r w:rsidR="00827F79">
        <w:rPr>
          <w:rFonts w:cs="Arial"/>
          <w:sz w:val="22"/>
          <w:szCs w:val="22"/>
        </w:rPr>
        <w:t>erfüllt sind, wird entweder der Zuwendung</w:t>
      </w:r>
      <w:r w:rsidR="00827F79">
        <w:rPr>
          <w:rFonts w:cs="Arial"/>
          <w:sz w:val="22"/>
          <w:szCs w:val="22"/>
        </w:rPr>
        <w:t>s</w:t>
      </w:r>
      <w:r w:rsidR="00827F79">
        <w:rPr>
          <w:rFonts w:cs="Arial"/>
          <w:sz w:val="22"/>
          <w:szCs w:val="22"/>
        </w:rPr>
        <w:t xml:space="preserve">antrag </w:t>
      </w:r>
      <w:r w:rsidR="00365EB1">
        <w:rPr>
          <w:rFonts w:cs="Arial"/>
          <w:sz w:val="22"/>
          <w:szCs w:val="22"/>
        </w:rPr>
        <w:t xml:space="preserve">in vollem Umfang </w:t>
      </w:r>
      <w:r w:rsidR="00827F79">
        <w:rPr>
          <w:rFonts w:cs="Arial"/>
          <w:sz w:val="22"/>
          <w:szCs w:val="22"/>
        </w:rPr>
        <w:t>abgelehnt oder, sofern dieser bereits erteilt wurde, der Zuwendung</w:t>
      </w:r>
      <w:r w:rsidR="00827F79">
        <w:rPr>
          <w:rFonts w:cs="Arial"/>
          <w:sz w:val="22"/>
          <w:szCs w:val="22"/>
        </w:rPr>
        <w:t>s</w:t>
      </w:r>
      <w:r w:rsidR="00827F79">
        <w:rPr>
          <w:rFonts w:cs="Arial"/>
          <w:sz w:val="22"/>
          <w:szCs w:val="22"/>
        </w:rPr>
        <w:t xml:space="preserve">bescheid </w:t>
      </w:r>
      <w:r w:rsidR="00365EB1">
        <w:rPr>
          <w:rFonts w:cs="Arial"/>
          <w:sz w:val="22"/>
          <w:szCs w:val="22"/>
        </w:rPr>
        <w:t xml:space="preserve">in vollem Umfang </w:t>
      </w:r>
      <w:r w:rsidR="001618BB">
        <w:rPr>
          <w:rFonts w:cs="Arial"/>
          <w:sz w:val="22"/>
          <w:szCs w:val="22"/>
        </w:rPr>
        <w:t>aufgehobe</w:t>
      </w:r>
      <w:r w:rsidR="00827F79">
        <w:rPr>
          <w:rFonts w:cs="Arial"/>
          <w:sz w:val="22"/>
          <w:szCs w:val="22"/>
        </w:rPr>
        <w:t xml:space="preserve">n. Die Bewilligungsbehörde hat hinsichtlich </w:t>
      </w:r>
      <w:r w:rsidR="00202AC8">
        <w:rPr>
          <w:rFonts w:cs="Arial"/>
          <w:sz w:val="22"/>
          <w:szCs w:val="22"/>
        </w:rPr>
        <w:t>der Entsche</w:t>
      </w:r>
      <w:r w:rsidR="00202AC8">
        <w:rPr>
          <w:rFonts w:cs="Arial"/>
          <w:sz w:val="22"/>
          <w:szCs w:val="22"/>
        </w:rPr>
        <w:t>i</w:t>
      </w:r>
      <w:r w:rsidR="00202AC8">
        <w:rPr>
          <w:rFonts w:cs="Arial"/>
          <w:sz w:val="22"/>
          <w:szCs w:val="22"/>
        </w:rPr>
        <w:t xml:space="preserve">dung über Ablehnung oder </w:t>
      </w:r>
      <w:r w:rsidR="001618BB">
        <w:rPr>
          <w:rFonts w:cs="Arial"/>
          <w:sz w:val="22"/>
          <w:szCs w:val="22"/>
        </w:rPr>
        <w:t>Aufhebung</w:t>
      </w:r>
      <w:r w:rsidR="00202AC8">
        <w:rPr>
          <w:rFonts w:cs="Arial"/>
          <w:sz w:val="22"/>
          <w:szCs w:val="22"/>
        </w:rPr>
        <w:t xml:space="preserve"> keinen Ermessen</w:t>
      </w:r>
      <w:r w:rsidR="00B90DEB">
        <w:rPr>
          <w:rFonts w:cs="Arial"/>
          <w:sz w:val="22"/>
          <w:szCs w:val="22"/>
        </w:rPr>
        <w:t>sspielraum; vielmehr ist die Rechtsfo</w:t>
      </w:r>
      <w:r w:rsidR="00B90DEB">
        <w:rPr>
          <w:rFonts w:cs="Arial"/>
          <w:sz w:val="22"/>
          <w:szCs w:val="22"/>
        </w:rPr>
        <w:t>l</w:t>
      </w:r>
      <w:r w:rsidR="00B90DEB">
        <w:rPr>
          <w:rFonts w:cs="Arial"/>
          <w:sz w:val="22"/>
          <w:szCs w:val="22"/>
        </w:rPr>
        <w:t xml:space="preserve">ge Ablehnung bzw. </w:t>
      </w:r>
      <w:r w:rsidR="001618BB">
        <w:rPr>
          <w:rFonts w:cs="Arial"/>
          <w:sz w:val="22"/>
          <w:szCs w:val="22"/>
        </w:rPr>
        <w:t>Aufhebung</w:t>
      </w:r>
      <w:r w:rsidR="00B90DEB">
        <w:rPr>
          <w:rFonts w:cs="Arial"/>
          <w:sz w:val="22"/>
          <w:szCs w:val="22"/>
        </w:rPr>
        <w:t xml:space="preserve"> zwingend.</w:t>
      </w:r>
    </w:p>
    <w:p w:rsidR="00B90DEB" w:rsidRDefault="00B90DEB" w:rsidP="00324E22">
      <w:pPr>
        <w:pStyle w:val="Anschrift"/>
        <w:spacing w:before="120"/>
        <w:rPr>
          <w:rFonts w:cs="Arial"/>
          <w:sz w:val="22"/>
          <w:szCs w:val="22"/>
        </w:rPr>
      </w:pPr>
    </w:p>
    <w:p w:rsidR="00202AC8" w:rsidRDefault="00365EB1" w:rsidP="00365EB1">
      <w:pPr>
        <w:pStyle w:val="Anschrift"/>
        <w:numPr>
          <w:ilvl w:val="0"/>
          <w:numId w:val="10"/>
        </w:numPr>
        <w:spacing w:before="120"/>
        <w:rPr>
          <w:rFonts w:asciiTheme="minorHAnsi" w:hAnsiTheme="minorHAnsi" w:cs="Arial"/>
        </w:rPr>
      </w:pPr>
      <w:r>
        <w:rPr>
          <w:rFonts w:asciiTheme="minorHAnsi" w:hAnsiTheme="minorHAnsi" w:cs="Arial"/>
        </w:rPr>
        <w:t xml:space="preserve">Verstoß gegen Verpflichtungen und Auflagen </w:t>
      </w:r>
      <w:r w:rsidRPr="00365EB1">
        <w:rPr>
          <w:rFonts w:asciiTheme="minorHAnsi" w:hAnsiTheme="minorHAnsi" w:cs="Arial"/>
        </w:rPr>
        <w:t>n</w:t>
      </w:r>
      <w:r w:rsidR="007D2DD1">
        <w:rPr>
          <w:rFonts w:asciiTheme="minorHAnsi" w:hAnsiTheme="minorHAnsi" w:cs="Arial"/>
        </w:rPr>
        <w:t>ach</w:t>
      </w:r>
      <w:r w:rsidRPr="00365EB1">
        <w:rPr>
          <w:rFonts w:asciiTheme="minorHAnsi" w:hAnsiTheme="minorHAnsi" w:cs="Arial"/>
        </w:rPr>
        <w:t xml:space="preserve"> Art. 3</w:t>
      </w:r>
      <w:r>
        <w:rPr>
          <w:rFonts w:asciiTheme="minorHAnsi" w:hAnsiTheme="minorHAnsi" w:cs="Arial"/>
        </w:rPr>
        <w:t>5</w:t>
      </w:r>
      <w:r w:rsidRPr="00365EB1">
        <w:rPr>
          <w:rFonts w:asciiTheme="minorHAnsi" w:hAnsiTheme="minorHAnsi" w:cs="Arial"/>
        </w:rPr>
        <w:t xml:space="preserve"> Abs. 2 </w:t>
      </w:r>
      <w:r>
        <w:rPr>
          <w:rFonts w:asciiTheme="minorHAnsi" w:hAnsiTheme="minorHAnsi" w:cs="Arial"/>
        </w:rPr>
        <w:t>und 3 VO (EU) Nr. 640</w:t>
      </w:r>
      <w:r w:rsidRPr="00365EB1">
        <w:rPr>
          <w:rFonts w:asciiTheme="minorHAnsi" w:hAnsiTheme="minorHAnsi" w:cs="Arial"/>
        </w:rPr>
        <w:t>/2014:</w:t>
      </w:r>
    </w:p>
    <w:p w:rsidR="00365EB1" w:rsidRDefault="00712735" w:rsidP="00585004">
      <w:pPr>
        <w:pStyle w:val="Anschrift"/>
        <w:spacing w:before="120"/>
        <w:jc w:val="both"/>
        <w:rPr>
          <w:rFonts w:cs="Arial"/>
          <w:sz w:val="22"/>
          <w:szCs w:val="22"/>
        </w:rPr>
      </w:pPr>
      <w:r>
        <w:rPr>
          <w:rFonts w:cs="Arial"/>
          <w:sz w:val="22"/>
          <w:szCs w:val="22"/>
        </w:rPr>
        <w:t xml:space="preserve">Verpflichtungen und Auflagen werden im Zuwendungsbescheid und den zum Bestandteil </w:t>
      </w:r>
      <w:r w:rsidR="00585004">
        <w:rPr>
          <w:rFonts w:cs="Arial"/>
          <w:sz w:val="22"/>
          <w:szCs w:val="22"/>
        </w:rPr>
        <w:t xml:space="preserve">des Bescheides </w:t>
      </w:r>
      <w:r>
        <w:rPr>
          <w:rFonts w:cs="Arial"/>
          <w:sz w:val="22"/>
          <w:szCs w:val="22"/>
        </w:rPr>
        <w:t>erklärten Unterlagen</w:t>
      </w:r>
      <w:r w:rsidR="00585004">
        <w:rPr>
          <w:rFonts w:cs="Arial"/>
          <w:sz w:val="22"/>
          <w:szCs w:val="22"/>
        </w:rPr>
        <w:t xml:space="preserve"> rechtsverbindlich</w:t>
      </w:r>
      <w:r>
        <w:rPr>
          <w:rFonts w:cs="Arial"/>
          <w:sz w:val="22"/>
          <w:szCs w:val="22"/>
        </w:rPr>
        <w:t xml:space="preserve"> für das einzelne Fördervorhaben</w:t>
      </w:r>
      <w:r w:rsidR="00585004">
        <w:rPr>
          <w:rFonts w:cs="Arial"/>
          <w:sz w:val="22"/>
          <w:szCs w:val="22"/>
        </w:rPr>
        <w:t xml:space="preserve"> </w:t>
      </w:r>
      <w:r w:rsidR="008230AA">
        <w:rPr>
          <w:rFonts w:cs="Arial"/>
          <w:sz w:val="22"/>
          <w:szCs w:val="22"/>
        </w:rPr>
        <w:t>zur Erre</w:t>
      </w:r>
      <w:r w:rsidR="008230AA">
        <w:rPr>
          <w:rFonts w:cs="Arial"/>
          <w:sz w:val="22"/>
          <w:szCs w:val="22"/>
        </w:rPr>
        <w:t>i</w:t>
      </w:r>
      <w:r w:rsidR="008230AA">
        <w:rPr>
          <w:rFonts w:cs="Arial"/>
          <w:sz w:val="22"/>
          <w:szCs w:val="22"/>
        </w:rPr>
        <w:t xml:space="preserve">chung des Zuwendungszieles bzw. –zweckes </w:t>
      </w:r>
      <w:r w:rsidR="00585004">
        <w:rPr>
          <w:rFonts w:cs="Arial"/>
          <w:sz w:val="22"/>
          <w:szCs w:val="22"/>
        </w:rPr>
        <w:t>in Übereinstimmung mit de</w:t>
      </w:r>
      <w:r w:rsidR="00807E8C">
        <w:rPr>
          <w:rFonts w:cs="Arial"/>
          <w:sz w:val="22"/>
          <w:szCs w:val="22"/>
        </w:rPr>
        <w:t>n im</w:t>
      </w:r>
      <w:r w:rsidR="00585004">
        <w:rPr>
          <w:rFonts w:cs="Arial"/>
          <w:sz w:val="22"/>
          <w:szCs w:val="22"/>
        </w:rPr>
        <w:t xml:space="preserve"> Landesprogramm Ländlicher Raum 2014 - 2020</w:t>
      </w:r>
      <w:r>
        <w:rPr>
          <w:rFonts w:cs="Arial"/>
          <w:sz w:val="22"/>
          <w:szCs w:val="22"/>
        </w:rPr>
        <w:t xml:space="preserve"> </w:t>
      </w:r>
      <w:r w:rsidR="008230AA">
        <w:rPr>
          <w:rFonts w:cs="Arial"/>
          <w:sz w:val="22"/>
          <w:szCs w:val="22"/>
        </w:rPr>
        <w:t xml:space="preserve">bzw. Unions- und nationalen Vorschriften </w:t>
      </w:r>
      <w:r w:rsidR="00807E8C">
        <w:rPr>
          <w:rFonts w:cs="Arial"/>
          <w:sz w:val="22"/>
          <w:szCs w:val="22"/>
        </w:rPr>
        <w:t>aufgeführten Verpflic</w:t>
      </w:r>
      <w:r w:rsidR="00807E8C">
        <w:rPr>
          <w:rFonts w:cs="Arial"/>
          <w:sz w:val="22"/>
          <w:szCs w:val="22"/>
        </w:rPr>
        <w:t>h</w:t>
      </w:r>
      <w:r w:rsidR="00807E8C">
        <w:rPr>
          <w:rFonts w:cs="Arial"/>
          <w:sz w:val="22"/>
          <w:szCs w:val="22"/>
        </w:rPr>
        <w:t xml:space="preserve">tungen </w:t>
      </w:r>
      <w:r>
        <w:rPr>
          <w:rFonts w:cs="Arial"/>
          <w:sz w:val="22"/>
          <w:szCs w:val="22"/>
        </w:rPr>
        <w:t xml:space="preserve">festgelegt. Mit der </w:t>
      </w:r>
      <w:r w:rsidR="001577B0">
        <w:rPr>
          <w:rFonts w:cs="Arial"/>
          <w:sz w:val="22"/>
          <w:szCs w:val="22"/>
        </w:rPr>
        <w:t xml:space="preserve">Bekanntgabe des </w:t>
      </w:r>
      <w:r>
        <w:rPr>
          <w:rFonts w:cs="Arial"/>
          <w:sz w:val="22"/>
          <w:szCs w:val="22"/>
        </w:rPr>
        <w:t>Zuwendung</w:t>
      </w:r>
      <w:r w:rsidR="001577B0">
        <w:rPr>
          <w:rFonts w:cs="Arial"/>
          <w:sz w:val="22"/>
          <w:szCs w:val="22"/>
        </w:rPr>
        <w:t>sbescheides gegenüber dem Zuwe</w:t>
      </w:r>
      <w:r w:rsidR="001577B0">
        <w:rPr>
          <w:rFonts w:cs="Arial"/>
          <w:sz w:val="22"/>
          <w:szCs w:val="22"/>
        </w:rPr>
        <w:t>n</w:t>
      </w:r>
      <w:r w:rsidR="001577B0">
        <w:rPr>
          <w:rFonts w:cs="Arial"/>
          <w:sz w:val="22"/>
          <w:szCs w:val="22"/>
        </w:rPr>
        <w:t>dungsempfänger wird dieser</w:t>
      </w:r>
      <w:r>
        <w:rPr>
          <w:rFonts w:cs="Arial"/>
          <w:sz w:val="22"/>
          <w:szCs w:val="22"/>
        </w:rPr>
        <w:t xml:space="preserve"> verpflichtet</w:t>
      </w:r>
      <w:r w:rsidR="001577B0">
        <w:rPr>
          <w:rFonts w:cs="Arial"/>
          <w:sz w:val="22"/>
          <w:szCs w:val="22"/>
        </w:rPr>
        <w:t>, die ge</w:t>
      </w:r>
      <w:r>
        <w:rPr>
          <w:rFonts w:cs="Arial"/>
          <w:sz w:val="22"/>
          <w:szCs w:val="22"/>
        </w:rPr>
        <w:t>nannten Bestimmung</w:t>
      </w:r>
      <w:r w:rsidR="00D3517C">
        <w:rPr>
          <w:rFonts w:cs="Arial"/>
          <w:sz w:val="22"/>
          <w:szCs w:val="22"/>
        </w:rPr>
        <w:t>en uneingeschränkt zu beachten.</w:t>
      </w:r>
      <w:r w:rsidR="001577B0">
        <w:rPr>
          <w:rFonts w:cs="Arial"/>
          <w:sz w:val="22"/>
          <w:szCs w:val="22"/>
        </w:rPr>
        <w:t xml:space="preserve"> Sobald der Zuwendungsempfänger gegenüber der Bewilligungsbehörde auf die Ei</w:t>
      </w:r>
      <w:r w:rsidR="001577B0">
        <w:rPr>
          <w:rFonts w:cs="Arial"/>
          <w:sz w:val="22"/>
          <w:szCs w:val="22"/>
        </w:rPr>
        <w:t>n</w:t>
      </w:r>
      <w:r w:rsidR="001577B0">
        <w:rPr>
          <w:rFonts w:cs="Arial"/>
          <w:sz w:val="22"/>
          <w:szCs w:val="22"/>
        </w:rPr>
        <w:t>legung von Rechtsbehelfen verzichtet hat oder die Frist zur Einlegung eines statthaften Recht</w:t>
      </w:r>
      <w:r w:rsidR="001577B0">
        <w:rPr>
          <w:rFonts w:cs="Arial"/>
          <w:sz w:val="22"/>
          <w:szCs w:val="22"/>
        </w:rPr>
        <w:t>s</w:t>
      </w:r>
      <w:r w:rsidR="001577B0">
        <w:rPr>
          <w:rFonts w:cs="Arial"/>
          <w:sz w:val="22"/>
          <w:szCs w:val="22"/>
        </w:rPr>
        <w:t>behelfs verstrichen ist, sind die Auflagen und sonstigen Verpflichtungen unanfechtbarer B</w:t>
      </w:r>
      <w:r w:rsidR="001577B0">
        <w:rPr>
          <w:rFonts w:cs="Arial"/>
          <w:sz w:val="22"/>
          <w:szCs w:val="22"/>
        </w:rPr>
        <w:t>e</w:t>
      </w:r>
      <w:r w:rsidR="001577B0">
        <w:rPr>
          <w:rFonts w:cs="Arial"/>
          <w:sz w:val="22"/>
          <w:szCs w:val="22"/>
        </w:rPr>
        <w:t>standteil des Zuwendungsbescheides.</w:t>
      </w:r>
    </w:p>
    <w:p w:rsidR="00D3517C" w:rsidRDefault="00D3517C" w:rsidP="00585004">
      <w:pPr>
        <w:pStyle w:val="Anschrift"/>
        <w:spacing w:before="120"/>
        <w:jc w:val="both"/>
        <w:rPr>
          <w:rFonts w:cs="Arial"/>
          <w:sz w:val="22"/>
          <w:szCs w:val="22"/>
        </w:rPr>
      </w:pPr>
      <w:r>
        <w:rPr>
          <w:rFonts w:cs="Arial"/>
          <w:sz w:val="22"/>
          <w:szCs w:val="22"/>
        </w:rPr>
        <w:t>Das Unionsrecht versteht unter Verpflichtungen Aktionen des Begünstigten, zu deren Durchfü</w:t>
      </w:r>
      <w:r>
        <w:rPr>
          <w:rFonts w:cs="Arial"/>
          <w:sz w:val="22"/>
          <w:szCs w:val="22"/>
        </w:rPr>
        <w:t>h</w:t>
      </w:r>
      <w:r>
        <w:rPr>
          <w:rFonts w:cs="Arial"/>
          <w:sz w:val="22"/>
          <w:szCs w:val="22"/>
        </w:rPr>
        <w:t>rung er verpflichtet ist</w:t>
      </w:r>
      <w:r w:rsidR="000B35AA">
        <w:rPr>
          <w:rFonts w:cs="Arial"/>
          <w:sz w:val="22"/>
          <w:szCs w:val="22"/>
        </w:rPr>
        <w:t>,</w:t>
      </w:r>
      <w:r>
        <w:rPr>
          <w:rFonts w:cs="Arial"/>
          <w:sz w:val="22"/>
          <w:szCs w:val="22"/>
        </w:rPr>
        <w:t xml:space="preserve"> und die Gegenstand der Zahlung/Förderung sind</w:t>
      </w:r>
      <w:r w:rsidR="006D22A9">
        <w:rPr>
          <w:rFonts w:cs="Arial"/>
          <w:sz w:val="22"/>
          <w:szCs w:val="22"/>
        </w:rPr>
        <w:t xml:space="preserve"> (bspw. denkmalg</w:t>
      </w:r>
      <w:r w:rsidR="006D22A9">
        <w:rPr>
          <w:rFonts w:cs="Arial"/>
          <w:sz w:val="22"/>
          <w:szCs w:val="22"/>
        </w:rPr>
        <w:t>e</w:t>
      </w:r>
      <w:r w:rsidR="006D22A9">
        <w:rPr>
          <w:rFonts w:cs="Arial"/>
          <w:sz w:val="22"/>
          <w:szCs w:val="22"/>
        </w:rPr>
        <w:t>schützte Restaurierung einer ortsprägenden Windmühle)</w:t>
      </w:r>
      <w:r>
        <w:rPr>
          <w:rFonts w:cs="Arial"/>
          <w:sz w:val="22"/>
          <w:szCs w:val="22"/>
        </w:rPr>
        <w:t>. Auflagen sind dagegen Anforderu</w:t>
      </w:r>
      <w:r>
        <w:rPr>
          <w:rFonts w:cs="Arial"/>
          <w:sz w:val="22"/>
          <w:szCs w:val="22"/>
        </w:rPr>
        <w:t>n</w:t>
      </w:r>
      <w:r>
        <w:rPr>
          <w:rFonts w:cs="Arial"/>
          <w:sz w:val="22"/>
          <w:szCs w:val="22"/>
        </w:rPr>
        <w:t>ge</w:t>
      </w:r>
      <w:r w:rsidR="006D22A9">
        <w:rPr>
          <w:rFonts w:cs="Arial"/>
          <w:sz w:val="22"/>
          <w:szCs w:val="22"/>
        </w:rPr>
        <w:t>n, die der Begünstigte einhalten muss, für die er aber nicht ausdrücklich bezahlt bzw. gefö</w:t>
      </w:r>
      <w:r w:rsidR="006D22A9">
        <w:rPr>
          <w:rFonts w:cs="Arial"/>
          <w:sz w:val="22"/>
          <w:szCs w:val="22"/>
        </w:rPr>
        <w:t>r</w:t>
      </w:r>
      <w:r w:rsidR="006D22A9">
        <w:rPr>
          <w:rFonts w:cs="Arial"/>
          <w:sz w:val="22"/>
          <w:szCs w:val="22"/>
        </w:rPr>
        <w:t>dert wird (bspw. Einhaltung Vergabe</w:t>
      </w:r>
      <w:r w:rsidR="00502BEF">
        <w:rPr>
          <w:rFonts w:cs="Arial"/>
          <w:sz w:val="22"/>
          <w:szCs w:val="22"/>
        </w:rPr>
        <w:t>recht</w:t>
      </w:r>
      <w:r w:rsidR="00296DE9">
        <w:rPr>
          <w:rFonts w:cs="Arial"/>
          <w:sz w:val="22"/>
          <w:szCs w:val="22"/>
        </w:rPr>
        <w:t>, Vorlagefristen</w:t>
      </w:r>
      <w:r w:rsidR="00596FD2">
        <w:rPr>
          <w:rFonts w:cs="Arial"/>
          <w:sz w:val="22"/>
          <w:szCs w:val="22"/>
        </w:rPr>
        <w:t xml:space="preserve"> bzw.</w:t>
      </w:r>
      <w:r w:rsidR="00296DE9">
        <w:rPr>
          <w:rFonts w:cs="Arial"/>
          <w:sz w:val="22"/>
          <w:szCs w:val="22"/>
        </w:rPr>
        <w:t xml:space="preserve"> Nutzungsauflagen; Einh</w:t>
      </w:r>
      <w:r w:rsidR="00296DE9">
        <w:rPr>
          <w:rFonts w:cs="Arial"/>
          <w:sz w:val="22"/>
          <w:szCs w:val="22"/>
        </w:rPr>
        <w:t>o</w:t>
      </w:r>
      <w:r w:rsidR="00296DE9">
        <w:rPr>
          <w:rFonts w:cs="Arial"/>
          <w:sz w:val="22"/>
          <w:szCs w:val="22"/>
        </w:rPr>
        <w:t>lung/Vorlage erforderlicher behördlicher Zulassungen</w:t>
      </w:r>
      <w:r w:rsidR="006D22A9">
        <w:rPr>
          <w:rFonts w:cs="Arial"/>
          <w:sz w:val="22"/>
          <w:szCs w:val="22"/>
        </w:rPr>
        <w:t>).</w:t>
      </w:r>
    </w:p>
    <w:p w:rsidR="00872417" w:rsidRDefault="00585004" w:rsidP="00585004">
      <w:pPr>
        <w:pStyle w:val="Anschrift"/>
        <w:spacing w:before="120"/>
        <w:jc w:val="both"/>
        <w:rPr>
          <w:rFonts w:cs="Arial"/>
          <w:sz w:val="22"/>
          <w:szCs w:val="22"/>
        </w:rPr>
      </w:pPr>
      <w:r>
        <w:rPr>
          <w:rFonts w:cs="Arial"/>
          <w:sz w:val="22"/>
          <w:szCs w:val="22"/>
        </w:rPr>
        <w:t>Wenn die Verpflichtungen und Auflagen nicht oder nicht vollständig beachtet werden, wird en</w:t>
      </w:r>
      <w:r>
        <w:rPr>
          <w:rFonts w:cs="Arial"/>
          <w:sz w:val="22"/>
          <w:szCs w:val="22"/>
        </w:rPr>
        <w:t>t</w:t>
      </w:r>
      <w:r>
        <w:rPr>
          <w:rFonts w:cs="Arial"/>
          <w:sz w:val="22"/>
          <w:szCs w:val="22"/>
        </w:rPr>
        <w:t xml:space="preserve">weder der Zuwendungsantrag </w:t>
      </w:r>
      <w:r w:rsidR="00872417">
        <w:rPr>
          <w:rFonts w:cs="Arial"/>
          <w:sz w:val="22"/>
          <w:szCs w:val="22"/>
        </w:rPr>
        <w:t xml:space="preserve">ganz oder teilweise </w:t>
      </w:r>
      <w:r>
        <w:rPr>
          <w:rFonts w:cs="Arial"/>
          <w:sz w:val="22"/>
          <w:szCs w:val="22"/>
        </w:rPr>
        <w:t xml:space="preserve">abgelehnt oder, sofern dieser bereits erteilt wurde, der Zuwendungsbescheid </w:t>
      </w:r>
      <w:r w:rsidR="00872417">
        <w:rPr>
          <w:rFonts w:cs="Arial"/>
          <w:sz w:val="22"/>
          <w:szCs w:val="22"/>
        </w:rPr>
        <w:t xml:space="preserve">ganz oder teilweise </w:t>
      </w:r>
      <w:r w:rsidR="000B35AA">
        <w:rPr>
          <w:rFonts w:cs="Arial"/>
          <w:sz w:val="22"/>
          <w:szCs w:val="22"/>
        </w:rPr>
        <w:t xml:space="preserve">aufgehoben und gewährte Leistungen </w:t>
      </w:r>
      <w:r w:rsidR="004257CC">
        <w:rPr>
          <w:rFonts w:cs="Arial"/>
          <w:sz w:val="22"/>
          <w:szCs w:val="22"/>
        </w:rPr>
        <w:t xml:space="preserve">ganz oder teilweise </w:t>
      </w:r>
      <w:r w:rsidR="000B35AA">
        <w:rPr>
          <w:rFonts w:cs="Arial"/>
          <w:sz w:val="22"/>
          <w:szCs w:val="22"/>
        </w:rPr>
        <w:t>zurückgefordert</w:t>
      </w:r>
      <w:r>
        <w:rPr>
          <w:rFonts w:cs="Arial"/>
          <w:sz w:val="22"/>
          <w:szCs w:val="22"/>
        </w:rPr>
        <w:t xml:space="preserve">. Die Bewilligungsbehörde </w:t>
      </w:r>
      <w:r w:rsidR="00872417">
        <w:rPr>
          <w:rFonts w:cs="Arial"/>
          <w:sz w:val="22"/>
          <w:szCs w:val="22"/>
        </w:rPr>
        <w:t xml:space="preserve">trifft ihre </w:t>
      </w:r>
      <w:r>
        <w:rPr>
          <w:rFonts w:cs="Arial"/>
          <w:sz w:val="22"/>
          <w:szCs w:val="22"/>
        </w:rPr>
        <w:t>Ent</w:t>
      </w:r>
      <w:r w:rsidR="00872417">
        <w:rPr>
          <w:rFonts w:cs="Arial"/>
          <w:sz w:val="22"/>
          <w:szCs w:val="22"/>
        </w:rPr>
        <w:t xml:space="preserve">scheidung, inwieweit eine </w:t>
      </w:r>
      <w:r>
        <w:rPr>
          <w:rFonts w:cs="Arial"/>
          <w:sz w:val="22"/>
          <w:szCs w:val="22"/>
        </w:rPr>
        <w:t xml:space="preserve">Ablehnung </w:t>
      </w:r>
      <w:r w:rsidR="00872417">
        <w:rPr>
          <w:rFonts w:cs="Arial"/>
          <w:sz w:val="22"/>
          <w:szCs w:val="22"/>
        </w:rPr>
        <w:t>bzw. ein</w:t>
      </w:r>
      <w:r w:rsidR="000B35AA">
        <w:rPr>
          <w:rFonts w:cs="Arial"/>
          <w:sz w:val="22"/>
          <w:szCs w:val="22"/>
        </w:rPr>
        <w:t>e Aufhebung</w:t>
      </w:r>
      <w:r>
        <w:rPr>
          <w:rFonts w:cs="Arial"/>
          <w:sz w:val="22"/>
          <w:szCs w:val="22"/>
        </w:rPr>
        <w:t xml:space="preserve"> </w:t>
      </w:r>
      <w:r w:rsidR="00872417">
        <w:rPr>
          <w:rFonts w:cs="Arial"/>
          <w:sz w:val="22"/>
          <w:szCs w:val="22"/>
        </w:rPr>
        <w:t>vollständig oder teilweise erfolgt</w:t>
      </w:r>
      <w:r w:rsidR="00E718BD">
        <w:rPr>
          <w:rFonts w:cs="Arial"/>
          <w:sz w:val="22"/>
          <w:szCs w:val="22"/>
        </w:rPr>
        <w:t>,</w:t>
      </w:r>
      <w:r w:rsidR="00872417">
        <w:rPr>
          <w:rFonts w:cs="Arial"/>
          <w:sz w:val="22"/>
          <w:szCs w:val="22"/>
        </w:rPr>
        <w:t xml:space="preserve"> </w:t>
      </w:r>
      <w:r w:rsidR="00686B11">
        <w:rPr>
          <w:rFonts w:cs="Arial"/>
          <w:sz w:val="22"/>
          <w:szCs w:val="22"/>
        </w:rPr>
        <w:t xml:space="preserve">nach Art. 35 Abs. 3 VO (EU) Nr. 640/2014 </w:t>
      </w:r>
      <w:r w:rsidR="00872417">
        <w:rPr>
          <w:rFonts w:cs="Arial"/>
          <w:sz w:val="22"/>
          <w:szCs w:val="22"/>
        </w:rPr>
        <w:t>auf Grundlage der Be</w:t>
      </w:r>
      <w:r w:rsidR="00686B11">
        <w:rPr>
          <w:rFonts w:cs="Arial"/>
          <w:sz w:val="22"/>
          <w:szCs w:val="22"/>
        </w:rPr>
        <w:t>wert</w:t>
      </w:r>
      <w:r w:rsidR="00872417">
        <w:rPr>
          <w:rFonts w:cs="Arial"/>
          <w:sz w:val="22"/>
          <w:szCs w:val="22"/>
        </w:rPr>
        <w:t xml:space="preserve">ung nach </w:t>
      </w:r>
      <w:r w:rsidR="00872417" w:rsidRPr="00502BEF">
        <w:rPr>
          <w:rFonts w:cs="Arial"/>
          <w:sz w:val="22"/>
          <w:szCs w:val="22"/>
          <w:u w:val="single"/>
        </w:rPr>
        <w:t>Ausmaß, Dauer, Häufigkeit und Schwere</w:t>
      </w:r>
      <w:r w:rsidR="00872417" w:rsidRPr="00502BEF">
        <w:rPr>
          <w:rFonts w:cs="Arial"/>
          <w:sz w:val="22"/>
          <w:szCs w:val="22"/>
        </w:rPr>
        <w:t xml:space="preserve"> der festgestellten Verstöße </w:t>
      </w:r>
      <w:r w:rsidR="00E718BD" w:rsidRPr="00502BEF">
        <w:rPr>
          <w:rFonts w:cs="Arial"/>
          <w:sz w:val="22"/>
          <w:szCs w:val="22"/>
        </w:rPr>
        <w:t>im Hinblick auf d</w:t>
      </w:r>
      <w:r w:rsidR="00872417" w:rsidRPr="00502BEF">
        <w:rPr>
          <w:rFonts w:cs="Arial"/>
          <w:sz w:val="22"/>
          <w:szCs w:val="22"/>
        </w:rPr>
        <w:t>eren Wir</w:t>
      </w:r>
      <w:r w:rsidR="00872417" w:rsidRPr="007D2DD1">
        <w:rPr>
          <w:rFonts w:cs="Arial"/>
          <w:sz w:val="22"/>
          <w:szCs w:val="22"/>
        </w:rPr>
        <w:t>kung</w:t>
      </w:r>
      <w:r w:rsidR="00872417">
        <w:rPr>
          <w:rFonts w:cs="Arial"/>
          <w:sz w:val="22"/>
          <w:szCs w:val="22"/>
        </w:rPr>
        <w:t xml:space="preserve"> </w:t>
      </w:r>
      <w:r w:rsidR="00E718BD">
        <w:rPr>
          <w:rFonts w:cs="Arial"/>
          <w:sz w:val="22"/>
          <w:szCs w:val="22"/>
        </w:rPr>
        <w:t xml:space="preserve">auf die </w:t>
      </w:r>
      <w:r w:rsidR="00872417">
        <w:rPr>
          <w:rFonts w:cs="Arial"/>
          <w:sz w:val="22"/>
          <w:szCs w:val="22"/>
        </w:rPr>
        <w:t>Erreichung des Zuwendung</w:t>
      </w:r>
      <w:r w:rsidR="00872417">
        <w:rPr>
          <w:rFonts w:cs="Arial"/>
          <w:sz w:val="22"/>
          <w:szCs w:val="22"/>
        </w:rPr>
        <w:t>s</w:t>
      </w:r>
      <w:r w:rsidR="00872417">
        <w:rPr>
          <w:rFonts w:cs="Arial"/>
          <w:sz w:val="22"/>
          <w:szCs w:val="22"/>
        </w:rPr>
        <w:t>zweckes und d</w:t>
      </w:r>
      <w:r w:rsidR="00E718BD">
        <w:rPr>
          <w:rFonts w:cs="Arial"/>
          <w:sz w:val="22"/>
          <w:szCs w:val="22"/>
        </w:rPr>
        <w:t>i</w:t>
      </w:r>
      <w:r w:rsidR="00872417">
        <w:rPr>
          <w:rFonts w:cs="Arial"/>
          <w:sz w:val="22"/>
          <w:szCs w:val="22"/>
        </w:rPr>
        <w:t xml:space="preserve">e Einhaltung </w:t>
      </w:r>
      <w:r w:rsidR="00EF1341">
        <w:rPr>
          <w:rFonts w:cs="Arial"/>
          <w:sz w:val="22"/>
          <w:szCs w:val="22"/>
        </w:rPr>
        <w:t>Unions</w:t>
      </w:r>
      <w:r w:rsidR="00872417">
        <w:rPr>
          <w:rFonts w:cs="Arial"/>
          <w:sz w:val="22"/>
          <w:szCs w:val="22"/>
        </w:rPr>
        <w:t>- und nationaler Vorschriften.</w:t>
      </w:r>
      <w:r w:rsidR="004043F4">
        <w:rPr>
          <w:rFonts w:cs="Arial"/>
          <w:sz w:val="22"/>
          <w:szCs w:val="22"/>
        </w:rPr>
        <w:t xml:space="preserve"> </w:t>
      </w:r>
      <w:r w:rsidR="00D508A9">
        <w:rPr>
          <w:rFonts w:cs="Arial"/>
          <w:sz w:val="22"/>
          <w:szCs w:val="22"/>
        </w:rPr>
        <w:t>Soweit der Verstoß nicht ei</w:t>
      </w:r>
      <w:r w:rsidR="00D508A9">
        <w:rPr>
          <w:rFonts w:cs="Arial"/>
          <w:sz w:val="22"/>
          <w:szCs w:val="22"/>
        </w:rPr>
        <w:t>n</w:t>
      </w:r>
      <w:r w:rsidR="00D508A9">
        <w:rPr>
          <w:rFonts w:cs="Arial"/>
          <w:sz w:val="22"/>
          <w:szCs w:val="22"/>
        </w:rPr>
        <w:t>deutig eingrenzbar ist, wird d</w:t>
      </w:r>
      <w:r w:rsidR="004043F4">
        <w:rPr>
          <w:rFonts w:cs="Arial"/>
          <w:sz w:val="22"/>
          <w:szCs w:val="22"/>
        </w:rPr>
        <w:t xml:space="preserve">ie </w:t>
      </w:r>
      <w:r w:rsidR="004043F4" w:rsidRPr="001D0514">
        <w:rPr>
          <w:rFonts w:cs="Arial"/>
          <w:b/>
          <w:sz w:val="22"/>
          <w:szCs w:val="22"/>
        </w:rPr>
        <w:t>Sanktionierung in der Regel in Höhe des prozentualen Ko</w:t>
      </w:r>
      <w:r w:rsidR="004043F4" w:rsidRPr="001D0514">
        <w:rPr>
          <w:rFonts w:cs="Arial"/>
          <w:b/>
          <w:sz w:val="22"/>
          <w:szCs w:val="22"/>
        </w:rPr>
        <w:t>r</w:t>
      </w:r>
      <w:r w:rsidR="004043F4" w:rsidRPr="001D0514">
        <w:rPr>
          <w:rFonts w:cs="Arial"/>
          <w:b/>
          <w:sz w:val="22"/>
          <w:szCs w:val="22"/>
        </w:rPr>
        <w:t>rektursatzes</w:t>
      </w:r>
      <w:r w:rsidR="004043F4">
        <w:rPr>
          <w:rFonts w:cs="Arial"/>
          <w:sz w:val="22"/>
          <w:szCs w:val="22"/>
        </w:rPr>
        <w:t xml:space="preserve"> </w:t>
      </w:r>
      <w:r w:rsidR="004043F4" w:rsidRPr="001D0514">
        <w:rPr>
          <w:rFonts w:cs="Arial"/>
          <w:b/>
          <w:sz w:val="22"/>
          <w:szCs w:val="22"/>
        </w:rPr>
        <w:t>auf die Gesamtzuwendung ausgesprochen</w:t>
      </w:r>
      <w:r w:rsidR="004043F4">
        <w:rPr>
          <w:rFonts w:cs="Arial"/>
          <w:sz w:val="22"/>
          <w:szCs w:val="22"/>
        </w:rPr>
        <w:t xml:space="preserve"> (Ausnahme: Sanktionierung von Ver</w:t>
      </w:r>
      <w:r w:rsidR="00D508A9">
        <w:rPr>
          <w:rFonts w:cs="Arial"/>
          <w:sz w:val="22"/>
          <w:szCs w:val="22"/>
        </w:rPr>
        <w:t>stöße</w:t>
      </w:r>
      <w:r w:rsidR="00596FD2">
        <w:rPr>
          <w:rFonts w:cs="Arial"/>
          <w:sz w:val="22"/>
          <w:szCs w:val="22"/>
        </w:rPr>
        <w:t>n</w:t>
      </w:r>
      <w:r w:rsidR="00D508A9">
        <w:rPr>
          <w:rFonts w:cs="Arial"/>
          <w:sz w:val="22"/>
          <w:szCs w:val="22"/>
        </w:rPr>
        <w:t xml:space="preserve"> gegen öffentliches Vergaberecht </w:t>
      </w:r>
      <w:r w:rsidR="004043F4">
        <w:rPr>
          <w:rFonts w:cs="Arial"/>
          <w:sz w:val="22"/>
          <w:szCs w:val="22"/>
        </w:rPr>
        <w:t xml:space="preserve">und </w:t>
      </w:r>
      <w:r w:rsidR="00D508A9">
        <w:rPr>
          <w:rFonts w:cs="Arial"/>
          <w:sz w:val="22"/>
          <w:szCs w:val="22"/>
        </w:rPr>
        <w:t>gegen die Bestimmungen einer ordnungsg</w:t>
      </w:r>
      <w:r w:rsidR="00D508A9">
        <w:rPr>
          <w:rFonts w:cs="Arial"/>
          <w:sz w:val="22"/>
          <w:szCs w:val="22"/>
        </w:rPr>
        <w:t>e</w:t>
      </w:r>
      <w:r w:rsidR="00D508A9">
        <w:rPr>
          <w:rFonts w:cs="Arial"/>
          <w:sz w:val="22"/>
          <w:szCs w:val="22"/>
        </w:rPr>
        <w:t xml:space="preserve">mäßen </w:t>
      </w:r>
      <w:r w:rsidR="00080B35">
        <w:rPr>
          <w:rFonts w:cs="Arial"/>
          <w:sz w:val="22"/>
          <w:szCs w:val="22"/>
        </w:rPr>
        <w:t>Auftragserteilung Priva</w:t>
      </w:r>
      <w:r w:rsidR="00D508A9">
        <w:rPr>
          <w:rFonts w:cs="Arial"/>
          <w:sz w:val="22"/>
          <w:szCs w:val="22"/>
        </w:rPr>
        <w:t>ter (bspw. aufgrund fehlender Markterkundung)</w:t>
      </w:r>
      <w:r w:rsidR="00080B35">
        <w:rPr>
          <w:rFonts w:cs="Arial"/>
          <w:sz w:val="22"/>
          <w:szCs w:val="22"/>
        </w:rPr>
        <w:t>).</w:t>
      </w:r>
    </w:p>
    <w:p w:rsidR="00D508A9" w:rsidRDefault="00D508A9" w:rsidP="00D508A9">
      <w:pPr>
        <w:pStyle w:val="Anschrift"/>
        <w:spacing w:before="240"/>
        <w:jc w:val="both"/>
        <w:rPr>
          <w:rFonts w:cs="Arial"/>
          <w:b/>
          <w:sz w:val="22"/>
          <w:szCs w:val="22"/>
        </w:rPr>
      </w:pPr>
      <w:r w:rsidRPr="00D508A9">
        <w:rPr>
          <w:rFonts w:cs="Arial"/>
          <w:b/>
          <w:sz w:val="22"/>
          <w:szCs w:val="22"/>
        </w:rPr>
        <w:t>Bew</w:t>
      </w:r>
      <w:r>
        <w:rPr>
          <w:rFonts w:cs="Arial"/>
          <w:b/>
          <w:sz w:val="22"/>
          <w:szCs w:val="22"/>
        </w:rPr>
        <w:t>ertungsverfahren für die Sanktionierung von Verstößen nach Art. 35 VO (EU) Nr. 640/2014:</w:t>
      </w:r>
    </w:p>
    <w:p w:rsidR="00D508A9" w:rsidRDefault="00D508A9" w:rsidP="00585004">
      <w:pPr>
        <w:pStyle w:val="Anschrift"/>
        <w:spacing w:before="120"/>
        <w:jc w:val="both"/>
        <w:rPr>
          <w:rFonts w:cs="Arial"/>
          <w:sz w:val="22"/>
          <w:szCs w:val="22"/>
        </w:rPr>
      </w:pPr>
      <w:r>
        <w:rPr>
          <w:rFonts w:cs="Arial"/>
          <w:sz w:val="22"/>
          <w:szCs w:val="22"/>
        </w:rPr>
        <w:t xml:space="preserve">Zur Festlegung des prozentualen Abzugs wird der Verstoß nach dem </w:t>
      </w:r>
      <w:r w:rsidR="00596FD2">
        <w:rPr>
          <w:rFonts w:cs="Arial"/>
          <w:sz w:val="22"/>
          <w:szCs w:val="22"/>
        </w:rPr>
        <w:t>„</w:t>
      </w:r>
      <w:r>
        <w:rPr>
          <w:rFonts w:cs="Arial"/>
          <w:sz w:val="22"/>
          <w:szCs w:val="22"/>
        </w:rPr>
        <w:t>ADHS</w:t>
      </w:r>
      <w:r w:rsidR="00596FD2">
        <w:rPr>
          <w:rFonts w:cs="Arial"/>
          <w:sz w:val="22"/>
          <w:szCs w:val="22"/>
        </w:rPr>
        <w:t>“</w:t>
      </w:r>
      <w:r>
        <w:rPr>
          <w:rFonts w:cs="Arial"/>
          <w:sz w:val="22"/>
          <w:szCs w:val="22"/>
        </w:rPr>
        <w:t>-Verfahren (Au</w:t>
      </w:r>
      <w:r>
        <w:rPr>
          <w:rFonts w:cs="Arial"/>
          <w:sz w:val="22"/>
          <w:szCs w:val="22"/>
        </w:rPr>
        <w:t>s</w:t>
      </w:r>
      <w:r>
        <w:rPr>
          <w:rFonts w:cs="Arial"/>
          <w:sz w:val="22"/>
          <w:szCs w:val="22"/>
        </w:rPr>
        <w:t xml:space="preserve">maß, Dauer, Häufigkeit und Schwere) </w:t>
      </w:r>
      <w:r w:rsidR="002706AE">
        <w:rPr>
          <w:rFonts w:cs="Arial"/>
          <w:sz w:val="22"/>
          <w:szCs w:val="22"/>
        </w:rPr>
        <w:t xml:space="preserve">nach Art. 35 Abs. 3 VO Nr. 640/2014 </w:t>
      </w:r>
      <w:r>
        <w:rPr>
          <w:rFonts w:cs="Arial"/>
          <w:sz w:val="22"/>
          <w:szCs w:val="22"/>
        </w:rPr>
        <w:t>im Rahmen der Ausübung des pflichtgemäßen Ermessens bewertet:</w:t>
      </w:r>
    </w:p>
    <w:p w:rsidR="00D508A9" w:rsidRDefault="00D508A9" w:rsidP="00D508A9">
      <w:pPr>
        <w:pStyle w:val="Anschrift"/>
        <w:spacing w:before="120"/>
        <w:ind w:left="1410" w:hanging="1410"/>
        <w:jc w:val="both"/>
        <w:rPr>
          <w:rFonts w:cs="Arial"/>
          <w:sz w:val="22"/>
          <w:szCs w:val="22"/>
        </w:rPr>
      </w:pPr>
      <w:r>
        <w:rPr>
          <w:rFonts w:cs="Arial"/>
          <w:sz w:val="22"/>
          <w:szCs w:val="22"/>
        </w:rPr>
        <w:t>Ausmaß:</w:t>
      </w:r>
      <w:r>
        <w:rPr>
          <w:rFonts w:cs="Arial"/>
          <w:sz w:val="22"/>
          <w:szCs w:val="22"/>
        </w:rPr>
        <w:tab/>
        <w:t>Das Ausmaß eines Verstoßes wird insbesondere anhand der Auswirkungen des Verstoßes auf das Vorhaben insgesamt beurteilt.</w:t>
      </w:r>
    </w:p>
    <w:p w:rsidR="00D508A9" w:rsidRDefault="00D508A9" w:rsidP="00D508A9">
      <w:pPr>
        <w:pStyle w:val="Anschrift"/>
        <w:spacing w:before="120"/>
        <w:ind w:left="1410" w:hanging="1410"/>
        <w:jc w:val="both"/>
        <w:rPr>
          <w:rFonts w:cs="Arial"/>
          <w:sz w:val="22"/>
          <w:szCs w:val="22"/>
        </w:rPr>
      </w:pPr>
      <w:r>
        <w:rPr>
          <w:rFonts w:cs="Arial"/>
          <w:sz w:val="22"/>
          <w:szCs w:val="22"/>
        </w:rPr>
        <w:t>Dauer:</w:t>
      </w:r>
      <w:r>
        <w:rPr>
          <w:rFonts w:cs="Arial"/>
          <w:sz w:val="22"/>
          <w:szCs w:val="22"/>
        </w:rPr>
        <w:tab/>
        <w:t>Für die Bestimmung der Dauer ist i</w:t>
      </w:r>
      <w:r w:rsidR="002706AE">
        <w:rPr>
          <w:rFonts w:cs="Arial"/>
          <w:sz w:val="22"/>
          <w:szCs w:val="22"/>
        </w:rPr>
        <w:t>nsbesondere maßgeblich, wie lang</w:t>
      </w:r>
      <w:r>
        <w:rPr>
          <w:rFonts w:cs="Arial"/>
          <w:sz w:val="22"/>
          <w:szCs w:val="22"/>
        </w:rPr>
        <w:t>e die Au</w:t>
      </w:r>
      <w:r>
        <w:rPr>
          <w:rFonts w:cs="Arial"/>
          <w:sz w:val="22"/>
          <w:szCs w:val="22"/>
        </w:rPr>
        <w:t>s</w:t>
      </w:r>
      <w:r>
        <w:rPr>
          <w:rFonts w:cs="Arial"/>
          <w:sz w:val="22"/>
          <w:szCs w:val="22"/>
        </w:rPr>
        <w:t>wirkungen andauern oder welche Möglichkeiten bestehen, diese Auswirkungen mit angemessenen Mitteln kurzfristig abzustellen.</w:t>
      </w:r>
      <w:r w:rsidR="002706AE">
        <w:rPr>
          <w:rFonts w:cs="Arial"/>
          <w:sz w:val="22"/>
          <w:szCs w:val="22"/>
        </w:rPr>
        <w:t xml:space="preserve"> Sofern der Begünstigte bereits auf den Verstoß hingewiesen wurde und dieser nicht ordnungs- bzw. fristgemäß abgestellt wurde, führt dies zu einer restriktiveren Bewertung (höhere Kategorie der Sanktion).</w:t>
      </w:r>
    </w:p>
    <w:p w:rsidR="00D508A9" w:rsidRDefault="002706AE" w:rsidP="00D508A9">
      <w:pPr>
        <w:pStyle w:val="Anschrift"/>
        <w:spacing w:before="120"/>
        <w:ind w:left="1410" w:hanging="1410"/>
        <w:jc w:val="both"/>
        <w:rPr>
          <w:rFonts w:cs="Arial"/>
          <w:sz w:val="22"/>
          <w:szCs w:val="22"/>
        </w:rPr>
      </w:pPr>
      <w:r>
        <w:rPr>
          <w:rFonts w:cs="Arial"/>
          <w:sz w:val="22"/>
          <w:szCs w:val="22"/>
        </w:rPr>
        <w:t>Häufigkeit:</w:t>
      </w:r>
      <w:r>
        <w:rPr>
          <w:rFonts w:cs="Arial"/>
          <w:sz w:val="22"/>
          <w:szCs w:val="22"/>
        </w:rPr>
        <w:tab/>
        <w:t>Hier wird beurteilt, ob bei vergleichbaren Projekten (derselben Maßna</w:t>
      </w:r>
      <w:r>
        <w:rPr>
          <w:rFonts w:cs="Arial"/>
          <w:sz w:val="22"/>
          <w:szCs w:val="22"/>
        </w:rPr>
        <w:t>h</w:t>
      </w:r>
      <w:r>
        <w:rPr>
          <w:rFonts w:cs="Arial"/>
          <w:sz w:val="22"/>
          <w:szCs w:val="22"/>
        </w:rPr>
        <w:t xml:space="preserve">me/Vorhabenart) </w:t>
      </w:r>
      <w:r w:rsidR="00EA06AC">
        <w:rPr>
          <w:rFonts w:cs="Arial"/>
          <w:sz w:val="22"/>
          <w:szCs w:val="22"/>
        </w:rPr>
        <w:t xml:space="preserve">des Begünstigten </w:t>
      </w:r>
      <w:r>
        <w:rPr>
          <w:rFonts w:cs="Arial"/>
          <w:sz w:val="22"/>
          <w:szCs w:val="22"/>
        </w:rPr>
        <w:t>bereits ähnliche Verstöße in der laufenden bzw. vorangegangenen Förderperiode festgestellt wurden.</w:t>
      </w:r>
    </w:p>
    <w:p w:rsidR="00EA06AC" w:rsidRPr="00D508A9" w:rsidRDefault="00EA06AC" w:rsidP="00D508A9">
      <w:pPr>
        <w:pStyle w:val="Anschrift"/>
        <w:spacing w:before="120"/>
        <w:ind w:left="1410" w:hanging="1410"/>
        <w:jc w:val="both"/>
        <w:rPr>
          <w:rFonts w:cs="Arial"/>
          <w:sz w:val="22"/>
          <w:szCs w:val="22"/>
        </w:rPr>
      </w:pPr>
      <w:r>
        <w:rPr>
          <w:rFonts w:cs="Arial"/>
          <w:sz w:val="22"/>
          <w:szCs w:val="22"/>
        </w:rPr>
        <w:lastRenderedPageBreak/>
        <w:t>Schwere:</w:t>
      </w:r>
      <w:r>
        <w:rPr>
          <w:rFonts w:cs="Arial"/>
          <w:sz w:val="22"/>
          <w:szCs w:val="22"/>
        </w:rPr>
        <w:tab/>
        <w:t>Die Schwere eines Verstoßes hängt insbesondere davon ab, wie groß die Au</w:t>
      </w:r>
      <w:r>
        <w:rPr>
          <w:rFonts w:cs="Arial"/>
          <w:sz w:val="22"/>
          <w:szCs w:val="22"/>
        </w:rPr>
        <w:t>s</w:t>
      </w:r>
      <w:r>
        <w:rPr>
          <w:rFonts w:cs="Arial"/>
          <w:sz w:val="22"/>
          <w:szCs w:val="22"/>
        </w:rPr>
        <w:t>wirkungen des Verstoßes unter Berücksichtigung der Ziele der nicht eingehalt</w:t>
      </w:r>
      <w:r>
        <w:rPr>
          <w:rFonts w:cs="Arial"/>
          <w:sz w:val="22"/>
          <w:szCs w:val="22"/>
        </w:rPr>
        <w:t>e</w:t>
      </w:r>
      <w:r>
        <w:rPr>
          <w:rFonts w:cs="Arial"/>
          <w:sz w:val="22"/>
          <w:szCs w:val="22"/>
        </w:rPr>
        <w:t>nen Verpflichtungen oder Auflagen sind.</w:t>
      </w:r>
    </w:p>
    <w:p w:rsidR="00D508A9" w:rsidRPr="00D508A9" w:rsidRDefault="00D508A9" w:rsidP="00585004">
      <w:pPr>
        <w:pStyle w:val="Anschrift"/>
        <w:spacing w:before="120"/>
        <w:jc w:val="both"/>
        <w:rPr>
          <w:rFonts w:cs="Arial"/>
          <w:b/>
          <w:sz w:val="22"/>
          <w:szCs w:val="22"/>
        </w:rPr>
      </w:pPr>
    </w:p>
    <w:p w:rsidR="00080B35" w:rsidRDefault="00686B11" w:rsidP="00585004">
      <w:pPr>
        <w:pStyle w:val="Anschrift"/>
        <w:spacing w:before="120"/>
        <w:jc w:val="both"/>
        <w:rPr>
          <w:rFonts w:cs="Arial"/>
          <w:sz w:val="22"/>
          <w:szCs w:val="22"/>
        </w:rPr>
      </w:pPr>
      <w:r w:rsidRPr="007B4C2E">
        <w:rPr>
          <w:rFonts w:cs="Arial"/>
          <w:b/>
          <w:sz w:val="22"/>
          <w:szCs w:val="22"/>
        </w:rPr>
        <w:t>Verstöße gegen vergaberechtliche Bestimmungen</w:t>
      </w:r>
      <w:r>
        <w:rPr>
          <w:rFonts w:cs="Arial"/>
          <w:sz w:val="22"/>
          <w:szCs w:val="22"/>
        </w:rPr>
        <w:t xml:space="preserve"> stellen </w:t>
      </w:r>
      <w:r w:rsidR="00F174B1">
        <w:rPr>
          <w:rFonts w:cs="Arial"/>
          <w:sz w:val="22"/>
          <w:szCs w:val="22"/>
        </w:rPr>
        <w:t>eine „Fallgruppe“ der</w:t>
      </w:r>
      <w:r>
        <w:rPr>
          <w:rFonts w:cs="Arial"/>
          <w:sz w:val="22"/>
          <w:szCs w:val="22"/>
        </w:rPr>
        <w:t xml:space="preserve"> </w:t>
      </w:r>
      <w:r w:rsidRPr="007B4C2E">
        <w:rPr>
          <w:rFonts w:cs="Arial"/>
          <w:sz w:val="22"/>
          <w:szCs w:val="22"/>
          <w:u w:val="single"/>
        </w:rPr>
        <w:t>Nichteinha</w:t>
      </w:r>
      <w:r w:rsidRPr="007B4C2E">
        <w:rPr>
          <w:rFonts w:cs="Arial"/>
          <w:sz w:val="22"/>
          <w:szCs w:val="22"/>
          <w:u w:val="single"/>
        </w:rPr>
        <w:t>l</w:t>
      </w:r>
      <w:r w:rsidRPr="007B4C2E">
        <w:rPr>
          <w:rFonts w:cs="Arial"/>
          <w:sz w:val="22"/>
          <w:szCs w:val="22"/>
          <w:u w:val="single"/>
        </w:rPr>
        <w:t>tung einer Auflage</w:t>
      </w:r>
      <w:r>
        <w:rPr>
          <w:rFonts w:cs="Arial"/>
          <w:sz w:val="22"/>
          <w:szCs w:val="22"/>
        </w:rPr>
        <w:t xml:space="preserve"> </w:t>
      </w:r>
      <w:r w:rsidR="007B4C2E">
        <w:rPr>
          <w:rFonts w:cs="Arial"/>
          <w:sz w:val="22"/>
          <w:szCs w:val="22"/>
        </w:rPr>
        <w:t>und damit einen Sanktionierungssachverhalt n</w:t>
      </w:r>
      <w:r w:rsidR="00A914E7">
        <w:rPr>
          <w:rFonts w:cs="Arial"/>
          <w:sz w:val="22"/>
          <w:szCs w:val="22"/>
        </w:rPr>
        <w:t>ach</w:t>
      </w:r>
      <w:r w:rsidR="007B4C2E">
        <w:rPr>
          <w:rFonts w:cs="Arial"/>
          <w:sz w:val="22"/>
          <w:szCs w:val="22"/>
        </w:rPr>
        <w:t xml:space="preserve"> Art. 35 VO (EU) Nr. 640/2014 </w:t>
      </w:r>
      <w:r>
        <w:rPr>
          <w:rFonts w:cs="Arial"/>
          <w:sz w:val="22"/>
          <w:szCs w:val="22"/>
        </w:rPr>
        <w:t xml:space="preserve">dar; sie sind nicht etwa als nicht förderfähige Ausgabe nach Art. 63 VO (EU) Nr. 809/2014 zu kürzen </w:t>
      </w:r>
      <w:r w:rsidR="007B4C2E">
        <w:rPr>
          <w:rFonts w:cs="Arial"/>
          <w:sz w:val="22"/>
          <w:szCs w:val="22"/>
        </w:rPr>
        <w:t xml:space="preserve">bzw. </w:t>
      </w:r>
      <w:r>
        <w:rPr>
          <w:rFonts w:cs="Arial"/>
          <w:sz w:val="22"/>
          <w:szCs w:val="22"/>
        </w:rPr>
        <w:t>zu</w:t>
      </w:r>
      <w:r w:rsidR="007B4C2E">
        <w:rPr>
          <w:rFonts w:cs="Arial"/>
          <w:sz w:val="22"/>
          <w:szCs w:val="22"/>
        </w:rPr>
        <w:t>sätzlich zu</w:t>
      </w:r>
      <w:r>
        <w:rPr>
          <w:rFonts w:cs="Arial"/>
          <w:sz w:val="22"/>
          <w:szCs w:val="22"/>
        </w:rPr>
        <w:t xml:space="preserve"> sanktion</w:t>
      </w:r>
      <w:r w:rsidR="007B4C2E">
        <w:rPr>
          <w:rFonts w:cs="Arial"/>
          <w:sz w:val="22"/>
          <w:szCs w:val="22"/>
        </w:rPr>
        <w:t>ieren. A</w:t>
      </w:r>
      <w:r w:rsidR="003E35B7">
        <w:rPr>
          <w:rFonts w:cs="Arial"/>
          <w:sz w:val="22"/>
          <w:szCs w:val="22"/>
        </w:rPr>
        <w:t>nders als bei</w:t>
      </w:r>
      <w:r w:rsidR="007B4C2E">
        <w:rPr>
          <w:rFonts w:cs="Arial"/>
          <w:sz w:val="22"/>
          <w:szCs w:val="22"/>
        </w:rPr>
        <w:t xml:space="preserve"> anderen Verpflichtungen und Auflagen hat die EU-Kommission den Bewertungsmaßstab für Sanktionen wegen Verg</w:t>
      </w:r>
      <w:r w:rsidR="007B4C2E">
        <w:rPr>
          <w:rFonts w:cs="Arial"/>
          <w:sz w:val="22"/>
          <w:szCs w:val="22"/>
        </w:rPr>
        <w:t>a</w:t>
      </w:r>
      <w:r w:rsidR="007B4C2E">
        <w:rPr>
          <w:rFonts w:cs="Arial"/>
          <w:sz w:val="22"/>
          <w:szCs w:val="22"/>
        </w:rPr>
        <w:t xml:space="preserve">beverstößen mit Beschluss vom </w:t>
      </w:r>
      <w:r w:rsidR="003E35B7">
        <w:rPr>
          <w:rFonts w:cs="Arial"/>
          <w:sz w:val="22"/>
          <w:szCs w:val="22"/>
        </w:rPr>
        <w:t xml:space="preserve">19.12.2013, C(2013) 9527 final, und </w:t>
      </w:r>
      <w:r w:rsidR="004870C6">
        <w:rPr>
          <w:rFonts w:cs="Arial"/>
          <w:sz w:val="22"/>
          <w:szCs w:val="22"/>
        </w:rPr>
        <w:t>dem entsprechenden A</w:t>
      </w:r>
      <w:r w:rsidR="004870C6">
        <w:rPr>
          <w:rFonts w:cs="Arial"/>
          <w:sz w:val="22"/>
          <w:szCs w:val="22"/>
        </w:rPr>
        <w:t>n</w:t>
      </w:r>
      <w:r w:rsidR="004870C6">
        <w:rPr>
          <w:rFonts w:cs="Arial"/>
          <w:sz w:val="22"/>
          <w:szCs w:val="22"/>
        </w:rPr>
        <w:t>hang</w:t>
      </w:r>
      <w:r w:rsidR="003E35B7">
        <w:rPr>
          <w:rFonts w:cs="Arial"/>
          <w:sz w:val="22"/>
          <w:szCs w:val="22"/>
        </w:rPr>
        <w:t xml:space="preserve"> „Leitlinien zur Festsetzung von Finanzkorrekturen, die bei Verstößen gegen die Vorschri</w:t>
      </w:r>
      <w:r w:rsidR="003E35B7">
        <w:rPr>
          <w:rFonts w:cs="Arial"/>
          <w:sz w:val="22"/>
          <w:szCs w:val="22"/>
        </w:rPr>
        <w:t>f</w:t>
      </w:r>
      <w:r w:rsidR="003E35B7">
        <w:rPr>
          <w:rFonts w:cs="Arial"/>
          <w:sz w:val="22"/>
          <w:szCs w:val="22"/>
        </w:rPr>
        <w:t>ten für die Vergabe öffentlicher Aufträge auf von der EU im Rahmen der geteilten Mittelverwa</w:t>
      </w:r>
      <w:r w:rsidR="003E35B7">
        <w:rPr>
          <w:rFonts w:cs="Arial"/>
          <w:sz w:val="22"/>
          <w:szCs w:val="22"/>
        </w:rPr>
        <w:t>l</w:t>
      </w:r>
      <w:r w:rsidR="003E35B7">
        <w:rPr>
          <w:rFonts w:cs="Arial"/>
          <w:sz w:val="22"/>
          <w:szCs w:val="22"/>
        </w:rPr>
        <w:t xml:space="preserve">tung finanzierte Ausgaben anzuwenden sind“ </w:t>
      </w:r>
      <w:r w:rsidR="007B4C2E">
        <w:rPr>
          <w:rFonts w:cs="Arial"/>
          <w:sz w:val="22"/>
          <w:szCs w:val="22"/>
        </w:rPr>
        <w:t xml:space="preserve">selbst </w:t>
      </w:r>
      <w:r w:rsidR="004870C6">
        <w:rPr>
          <w:rFonts w:cs="Arial"/>
          <w:sz w:val="22"/>
          <w:szCs w:val="22"/>
        </w:rPr>
        <w:t>festgeleg</w:t>
      </w:r>
      <w:r w:rsidR="003E35B7">
        <w:rPr>
          <w:rFonts w:cs="Arial"/>
          <w:sz w:val="22"/>
          <w:szCs w:val="22"/>
        </w:rPr>
        <w:t xml:space="preserve">t. </w:t>
      </w:r>
      <w:r w:rsidR="004870C6">
        <w:rPr>
          <w:rFonts w:cs="Arial"/>
          <w:sz w:val="22"/>
          <w:szCs w:val="22"/>
        </w:rPr>
        <w:t xml:space="preserve">Die Leitlinien </w:t>
      </w:r>
      <w:r w:rsidR="00596FD2">
        <w:rPr>
          <w:rFonts w:cs="Arial"/>
          <w:sz w:val="22"/>
          <w:szCs w:val="22"/>
        </w:rPr>
        <w:t>sind</w:t>
      </w:r>
      <w:r w:rsidR="004870C6">
        <w:rPr>
          <w:rFonts w:cs="Arial"/>
          <w:sz w:val="22"/>
          <w:szCs w:val="22"/>
        </w:rPr>
        <w:t xml:space="preserve"> für den Kreis der Zuwendungsempfänger, die öffentliche Auftraggeber gem. § 98 GWB sind, zum verbindl</w:t>
      </w:r>
      <w:r w:rsidR="004870C6">
        <w:rPr>
          <w:rFonts w:cs="Arial"/>
          <w:sz w:val="22"/>
          <w:szCs w:val="22"/>
        </w:rPr>
        <w:t>i</w:t>
      </w:r>
      <w:r w:rsidR="004870C6">
        <w:rPr>
          <w:rFonts w:cs="Arial"/>
          <w:sz w:val="22"/>
          <w:szCs w:val="22"/>
        </w:rPr>
        <w:t xml:space="preserve">chen Bestandteil des Zuwendungsbescheides </w:t>
      </w:r>
      <w:r w:rsidR="00596FD2">
        <w:rPr>
          <w:rFonts w:cs="Arial"/>
          <w:sz w:val="22"/>
          <w:szCs w:val="22"/>
        </w:rPr>
        <w:t xml:space="preserve">zu </w:t>
      </w:r>
      <w:r w:rsidR="004870C6">
        <w:rPr>
          <w:rFonts w:cs="Arial"/>
          <w:sz w:val="22"/>
          <w:szCs w:val="22"/>
        </w:rPr>
        <w:t>erklär</w:t>
      </w:r>
      <w:r w:rsidR="00596FD2">
        <w:rPr>
          <w:rFonts w:cs="Arial"/>
          <w:sz w:val="22"/>
          <w:szCs w:val="22"/>
        </w:rPr>
        <w:t>en</w:t>
      </w:r>
      <w:r w:rsidR="004870C6">
        <w:rPr>
          <w:rFonts w:cs="Arial"/>
          <w:sz w:val="22"/>
          <w:szCs w:val="22"/>
        </w:rPr>
        <w:t>.</w:t>
      </w:r>
    </w:p>
    <w:p w:rsidR="00080B35" w:rsidRDefault="00080B35" w:rsidP="00585004">
      <w:pPr>
        <w:pStyle w:val="Anschrift"/>
        <w:spacing w:before="120"/>
        <w:jc w:val="both"/>
        <w:rPr>
          <w:rFonts w:cs="Arial"/>
          <w:sz w:val="22"/>
          <w:szCs w:val="22"/>
          <w:u w:val="single"/>
        </w:rPr>
      </w:pPr>
      <w:r w:rsidRPr="006C0436">
        <w:rPr>
          <w:rFonts w:cs="Arial"/>
          <w:sz w:val="22"/>
          <w:szCs w:val="22"/>
          <w:u w:val="single"/>
        </w:rPr>
        <w:t>Sanktionierungen von Vergabeverstößen</w:t>
      </w:r>
      <w:r>
        <w:rPr>
          <w:rFonts w:cs="Arial"/>
          <w:sz w:val="22"/>
          <w:szCs w:val="22"/>
        </w:rPr>
        <w:t xml:space="preserve"> </w:t>
      </w:r>
      <w:r w:rsidR="00CC30B0">
        <w:rPr>
          <w:rFonts w:cs="Arial"/>
          <w:sz w:val="22"/>
          <w:szCs w:val="22"/>
        </w:rPr>
        <w:t xml:space="preserve">sowie </w:t>
      </w:r>
      <w:r w:rsidR="001D0514">
        <w:rPr>
          <w:rFonts w:cs="Arial"/>
          <w:sz w:val="22"/>
          <w:szCs w:val="22"/>
        </w:rPr>
        <w:t xml:space="preserve">von </w:t>
      </w:r>
      <w:r>
        <w:rPr>
          <w:rFonts w:cs="Arial"/>
          <w:sz w:val="22"/>
          <w:szCs w:val="22"/>
        </w:rPr>
        <w:t xml:space="preserve">Verstößen gegen eine ordnungsgemäße Markterkundung bei privaten Begünstigten, </w:t>
      </w:r>
      <w:r w:rsidR="00CC30B0">
        <w:rPr>
          <w:rFonts w:cs="Arial"/>
          <w:sz w:val="22"/>
          <w:szCs w:val="22"/>
        </w:rPr>
        <w:t xml:space="preserve">sofern sie im konkreten Einzelfall </w:t>
      </w:r>
      <w:r>
        <w:rPr>
          <w:rFonts w:cs="Arial"/>
          <w:sz w:val="22"/>
          <w:szCs w:val="22"/>
        </w:rPr>
        <w:t>nicht zur Einha</w:t>
      </w:r>
      <w:r>
        <w:rPr>
          <w:rFonts w:cs="Arial"/>
          <w:sz w:val="22"/>
          <w:szCs w:val="22"/>
        </w:rPr>
        <w:t>l</w:t>
      </w:r>
      <w:r>
        <w:rPr>
          <w:rFonts w:cs="Arial"/>
          <w:sz w:val="22"/>
          <w:szCs w:val="22"/>
        </w:rPr>
        <w:t>tung von Vergaberecht, sondern nur zur Einholung von mind. 3 Vergleichsangeboten durch Z</w:t>
      </w:r>
      <w:r>
        <w:rPr>
          <w:rFonts w:cs="Arial"/>
          <w:sz w:val="22"/>
          <w:szCs w:val="22"/>
        </w:rPr>
        <w:t>u</w:t>
      </w:r>
      <w:r>
        <w:rPr>
          <w:rFonts w:cs="Arial"/>
          <w:sz w:val="22"/>
          <w:szCs w:val="22"/>
        </w:rPr>
        <w:t xml:space="preserve">wendungsbescheid verpflichtet wurden, werden </w:t>
      </w:r>
      <w:r w:rsidRPr="006C0436">
        <w:rPr>
          <w:rFonts w:cs="Arial"/>
          <w:sz w:val="22"/>
          <w:szCs w:val="22"/>
          <w:u w:val="single"/>
        </w:rPr>
        <w:t xml:space="preserve">nicht auf die Gesamtzuwendung, sondern die </w:t>
      </w:r>
      <w:r w:rsidR="009D7EF8" w:rsidRPr="006C0436">
        <w:rPr>
          <w:rFonts w:cs="Arial"/>
          <w:sz w:val="22"/>
          <w:szCs w:val="22"/>
          <w:u w:val="single"/>
        </w:rPr>
        <w:t xml:space="preserve">förderfähige </w:t>
      </w:r>
      <w:r w:rsidR="00751445" w:rsidRPr="006C0436">
        <w:rPr>
          <w:rFonts w:cs="Arial"/>
          <w:sz w:val="22"/>
          <w:szCs w:val="22"/>
          <w:u w:val="single"/>
        </w:rPr>
        <w:t>Ausgabe der betreffenden Leistung ausgesprochen.</w:t>
      </w:r>
    </w:p>
    <w:p w:rsidR="00647607" w:rsidRDefault="00C74F72" w:rsidP="00700A92">
      <w:pPr>
        <w:pStyle w:val="Anschrift"/>
        <w:spacing w:before="120"/>
        <w:jc w:val="both"/>
        <w:rPr>
          <w:rFonts w:cs="Arial"/>
          <w:sz w:val="22"/>
          <w:szCs w:val="22"/>
        </w:rPr>
      </w:pPr>
      <w:r w:rsidRPr="00C74F72">
        <w:rPr>
          <w:rFonts w:cs="Arial"/>
          <w:sz w:val="22"/>
          <w:szCs w:val="22"/>
          <w:u w:val="single"/>
        </w:rPr>
        <w:t>Im Falle von Mehrausgaben</w:t>
      </w:r>
      <w:r>
        <w:rPr>
          <w:rFonts w:cs="Arial"/>
          <w:sz w:val="22"/>
          <w:szCs w:val="22"/>
        </w:rPr>
        <w:t xml:space="preserve">, die über den Zuschusshöchstbetrag hinausgehen, können die mit einem </w:t>
      </w:r>
      <w:r w:rsidRPr="00B468AF">
        <w:rPr>
          <w:rFonts w:cs="Arial"/>
          <w:b/>
          <w:sz w:val="22"/>
          <w:szCs w:val="22"/>
        </w:rPr>
        <w:t>Vergabefehler</w:t>
      </w:r>
      <w:r>
        <w:rPr>
          <w:rFonts w:cs="Arial"/>
          <w:sz w:val="22"/>
          <w:szCs w:val="22"/>
        </w:rPr>
        <w:t xml:space="preserve"> b</w:t>
      </w:r>
      <w:r w:rsidR="0067105F">
        <w:rPr>
          <w:rFonts w:cs="Arial"/>
          <w:sz w:val="22"/>
          <w:szCs w:val="22"/>
        </w:rPr>
        <w:t>ehafteten</w:t>
      </w:r>
      <w:r>
        <w:rPr>
          <w:rFonts w:cs="Arial"/>
          <w:sz w:val="22"/>
          <w:szCs w:val="22"/>
        </w:rPr>
        <w:t xml:space="preserve"> Ausgaben einer abgrenzbaren</w:t>
      </w:r>
      <w:r w:rsidR="00647607">
        <w:rPr>
          <w:rFonts w:cs="Arial"/>
          <w:sz w:val="22"/>
          <w:szCs w:val="22"/>
        </w:rPr>
        <w:t>, nicht projektbildenden</w:t>
      </w:r>
      <w:r>
        <w:rPr>
          <w:rFonts w:cs="Arial"/>
          <w:sz w:val="22"/>
          <w:szCs w:val="22"/>
        </w:rPr>
        <w:t xml:space="preserve"> Lei</w:t>
      </w:r>
      <w:r>
        <w:rPr>
          <w:rFonts w:cs="Arial"/>
          <w:sz w:val="22"/>
          <w:szCs w:val="22"/>
        </w:rPr>
        <w:t>s</w:t>
      </w:r>
      <w:r>
        <w:rPr>
          <w:rFonts w:cs="Arial"/>
          <w:sz w:val="22"/>
          <w:szCs w:val="22"/>
        </w:rPr>
        <w:t xml:space="preserve">tung dem </w:t>
      </w:r>
      <w:r w:rsidRPr="00C74F72">
        <w:rPr>
          <w:rFonts w:cs="Arial"/>
          <w:b/>
          <w:sz w:val="22"/>
          <w:szCs w:val="22"/>
        </w:rPr>
        <w:t>übererklärten</w:t>
      </w:r>
      <w:r>
        <w:rPr>
          <w:rFonts w:cs="Arial"/>
          <w:sz w:val="22"/>
          <w:szCs w:val="22"/>
        </w:rPr>
        <w:t xml:space="preserve"> </w:t>
      </w:r>
      <w:r w:rsidRPr="00C74F72">
        <w:rPr>
          <w:rFonts w:cs="Arial"/>
          <w:b/>
          <w:sz w:val="22"/>
          <w:szCs w:val="22"/>
        </w:rPr>
        <w:t>Bereich</w:t>
      </w:r>
      <w:r>
        <w:rPr>
          <w:rFonts w:cs="Arial"/>
          <w:sz w:val="22"/>
          <w:szCs w:val="22"/>
        </w:rPr>
        <w:t xml:space="preserve"> zugerechnet werden und sind damit ausnahmsweise nicht zu sanktioniere</w:t>
      </w:r>
      <w:r w:rsidR="00700A92">
        <w:rPr>
          <w:rFonts w:cs="Arial"/>
          <w:sz w:val="22"/>
          <w:szCs w:val="22"/>
        </w:rPr>
        <w:t>n</w:t>
      </w:r>
      <w:r w:rsidR="00647607">
        <w:rPr>
          <w:rFonts w:cs="Arial"/>
          <w:sz w:val="22"/>
          <w:szCs w:val="22"/>
        </w:rPr>
        <w:t>.</w:t>
      </w:r>
    </w:p>
    <w:p w:rsidR="00700A92" w:rsidRDefault="00D9476A" w:rsidP="00647607">
      <w:pPr>
        <w:pStyle w:val="Anschrift"/>
        <w:jc w:val="both"/>
        <w:rPr>
          <w:rFonts w:cs="Arial"/>
          <w:sz w:val="22"/>
          <w:szCs w:val="22"/>
        </w:rPr>
      </w:pPr>
      <w:r>
        <w:rPr>
          <w:rFonts w:cs="Arial"/>
          <w:sz w:val="22"/>
          <w:szCs w:val="22"/>
        </w:rPr>
        <w:t xml:space="preserve">Projektbildend ist eine </w:t>
      </w:r>
      <w:r w:rsidR="00647607">
        <w:rPr>
          <w:rFonts w:cs="Arial"/>
          <w:sz w:val="22"/>
          <w:szCs w:val="22"/>
        </w:rPr>
        <w:t xml:space="preserve">Leistung dann, wenn sie </w:t>
      </w:r>
      <w:r w:rsidR="00CF5B26">
        <w:rPr>
          <w:rFonts w:cs="Arial"/>
          <w:sz w:val="22"/>
          <w:szCs w:val="22"/>
        </w:rPr>
        <w:t xml:space="preserve">nach </w:t>
      </w:r>
      <w:r w:rsidR="00647607">
        <w:rPr>
          <w:rFonts w:cs="Arial"/>
          <w:sz w:val="22"/>
          <w:szCs w:val="22"/>
        </w:rPr>
        <w:t xml:space="preserve">den Bestimmungen des ZWB (Kosten- und Finanzierungsplan) </w:t>
      </w:r>
      <w:r>
        <w:rPr>
          <w:rFonts w:cs="Arial"/>
          <w:sz w:val="22"/>
          <w:szCs w:val="22"/>
        </w:rPr>
        <w:t>zur Erfüllung des Zuwendungszweckes erforderlich ist. Wenn dies der Fall ist, unterliegt die Leistung den Anforderungen aus dem Unionsrecht</w:t>
      </w:r>
      <w:r w:rsidR="00647607">
        <w:rPr>
          <w:rFonts w:cs="Arial"/>
          <w:sz w:val="22"/>
          <w:szCs w:val="22"/>
        </w:rPr>
        <w:t>, hier</w:t>
      </w:r>
      <w:r>
        <w:rPr>
          <w:rFonts w:cs="Arial"/>
          <w:sz w:val="22"/>
          <w:szCs w:val="22"/>
        </w:rPr>
        <w:t xml:space="preserve"> mit Anwendung der Leitlinien zur Finanzkorrektur bei Vergabeverstößen</w:t>
      </w:r>
      <w:r w:rsidR="008368B6">
        <w:rPr>
          <w:rFonts w:cs="Arial"/>
          <w:sz w:val="22"/>
          <w:szCs w:val="22"/>
        </w:rPr>
        <w:t xml:space="preserve"> und dem Art. 35 VO (EU) Nr. 640/2014.</w:t>
      </w:r>
    </w:p>
    <w:p w:rsidR="00C74F72" w:rsidRDefault="00700A92" w:rsidP="00700A92">
      <w:pPr>
        <w:pStyle w:val="Anschrift"/>
        <w:jc w:val="both"/>
        <w:rPr>
          <w:rFonts w:cs="Arial"/>
          <w:sz w:val="22"/>
          <w:szCs w:val="22"/>
        </w:rPr>
      </w:pPr>
      <w:r>
        <w:rPr>
          <w:rFonts w:cs="Arial"/>
          <w:sz w:val="22"/>
          <w:szCs w:val="22"/>
        </w:rPr>
        <w:t>Voraussetzung für die Nicht-Sanktionierung der vergabefehlerhaften Leistung und deren Au</w:t>
      </w:r>
      <w:r>
        <w:rPr>
          <w:rFonts w:cs="Arial"/>
          <w:sz w:val="22"/>
          <w:szCs w:val="22"/>
        </w:rPr>
        <w:t>s</w:t>
      </w:r>
      <w:r>
        <w:rPr>
          <w:rFonts w:cs="Arial"/>
          <w:sz w:val="22"/>
          <w:szCs w:val="22"/>
        </w:rPr>
        <w:t xml:space="preserve">gaben ist, dass die </w:t>
      </w:r>
      <w:r w:rsidRPr="00D9476A">
        <w:rPr>
          <w:rFonts w:cs="Arial"/>
          <w:sz w:val="22"/>
          <w:szCs w:val="22"/>
          <w:u w:val="single"/>
        </w:rPr>
        <w:t xml:space="preserve">betreffende Gesamtausgabe vollständig </w:t>
      </w:r>
      <w:r w:rsidR="00D9476A">
        <w:rPr>
          <w:rFonts w:cs="Arial"/>
          <w:sz w:val="22"/>
          <w:szCs w:val="22"/>
          <w:u w:val="single"/>
        </w:rPr>
        <w:t xml:space="preserve">außerhalb der EU-Erstattung </w:t>
      </w:r>
      <w:r w:rsidR="00D9476A" w:rsidRPr="00647607">
        <w:rPr>
          <w:rFonts w:cs="Arial"/>
          <w:sz w:val="22"/>
          <w:szCs w:val="22"/>
        </w:rPr>
        <w:t>durch den</w:t>
      </w:r>
      <w:r w:rsidRPr="00647607">
        <w:rPr>
          <w:rFonts w:cs="Arial"/>
          <w:sz w:val="22"/>
          <w:szCs w:val="22"/>
        </w:rPr>
        <w:t xml:space="preserve"> Begünstigten </w:t>
      </w:r>
      <w:r w:rsidR="00D9476A" w:rsidRPr="00647607">
        <w:rPr>
          <w:rFonts w:cs="Arial"/>
          <w:sz w:val="22"/>
          <w:szCs w:val="22"/>
        </w:rPr>
        <w:t xml:space="preserve">selbst im Rahmen der eigenfinanzierten </w:t>
      </w:r>
      <w:r w:rsidRPr="00647607">
        <w:rPr>
          <w:rFonts w:cs="Arial"/>
          <w:sz w:val="22"/>
          <w:szCs w:val="22"/>
        </w:rPr>
        <w:t xml:space="preserve">Mehrausgaben </w:t>
      </w:r>
      <w:r w:rsidR="00647607" w:rsidRPr="00647607">
        <w:rPr>
          <w:rFonts w:cs="Arial"/>
          <w:sz w:val="22"/>
          <w:szCs w:val="22"/>
        </w:rPr>
        <w:t>ge</w:t>
      </w:r>
      <w:r w:rsidR="00D9476A" w:rsidRPr="00647607">
        <w:rPr>
          <w:rFonts w:cs="Arial"/>
          <w:sz w:val="22"/>
          <w:szCs w:val="22"/>
        </w:rPr>
        <w:t xml:space="preserve">tragen </w:t>
      </w:r>
      <w:r w:rsidR="00647607" w:rsidRPr="00647607">
        <w:rPr>
          <w:rFonts w:cs="Arial"/>
          <w:sz w:val="22"/>
          <w:szCs w:val="22"/>
        </w:rPr>
        <w:t>wird</w:t>
      </w:r>
      <w:r>
        <w:rPr>
          <w:rFonts w:cs="Arial"/>
          <w:sz w:val="22"/>
          <w:szCs w:val="22"/>
        </w:rPr>
        <w:t xml:space="preserve"> und nicht bereits Gegen</w:t>
      </w:r>
      <w:r w:rsidR="00D9476A">
        <w:rPr>
          <w:rFonts w:cs="Arial"/>
          <w:sz w:val="22"/>
          <w:szCs w:val="22"/>
        </w:rPr>
        <w:t>stand d</w:t>
      </w:r>
      <w:r>
        <w:rPr>
          <w:rFonts w:cs="Arial"/>
          <w:sz w:val="22"/>
          <w:szCs w:val="22"/>
        </w:rPr>
        <w:t>er Bewilligung eines Zwischenzahlungsantrages zum betreffenden Vorha</w:t>
      </w:r>
      <w:r w:rsidR="00647607">
        <w:rPr>
          <w:rFonts w:cs="Arial"/>
          <w:sz w:val="22"/>
          <w:szCs w:val="22"/>
        </w:rPr>
        <w:t>ben war.</w:t>
      </w:r>
    </w:p>
    <w:p w:rsidR="00647607" w:rsidRDefault="00647607" w:rsidP="00700A92">
      <w:pPr>
        <w:pStyle w:val="Anschrift"/>
        <w:jc w:val="both"/>
        <w:rPr>
          <w:rFonts w:cs="Arial"/>
          <w:sz w:val="22"/>
          <w:szCs w:val="22"/>
        </w:rPr>
      </w:pPr>
    </w:p>
    <w:p w:rsidR="00647607" w:rsidRDefault="00647607" w:rsidP="00700A92">
      <w:pPr>
        <w:pStyle w:val="Anschrift"/>
        <w:jc w:val="both"/>
        <w:rPr>
          <w:rFonts w:cs="Arial"/>
          <w:sz w:val="22"/>
          <w:szCs w:val="22"/>
        </w:rPr>
      </w:pPr>
      <w:r>
        <w:rPr>
          <w:rFonts w:cs="Arial"/>
          <w:sz w:val="22"/>
          <w:szCs w:val="22"/>
        </w:rPr>
        <w:t xml:space="preserve">Über diese v.g. Ausnahme hinaus gilt der </w:t>
      </w:r>
      <w:r w:rsidRPr="00647607">
        <w:rPr>
          <w:rFonts w:cs="Arial"/>
          <w:b/>
          <w:sz w:val="22"/>
          <w:szCs w:val="22"/>
        </w:rPr>
        <w:t>Grundsatz</w:t>
      </w:r>
      <w:r>
        <w:rPr>
          <w:rFonts w:cs="Arial"/>
          <w:sz w:val="22"/>
          <w:szCs w:val="22"/>
        </w:rPr>
        <w:t>, dass Sanktionen nach Art. 35 VO (EU) Nr. 640/2014 nicht durch Mehrausgaben zum Vorhaben kompensiert werden dürfen.</w:t>
      </w:r>
    </w:p>
    <w:p w:rsidR="00C74F72" w:rsidRDefault="00C74F72" w:rsidP="00647607">
      <w:pPr>
        <w:pStyle w:val="Anschrift"/>
        <w:jc w:val="both"/>
        <w:rPr>
          <w:rFonts w:cs="Arial"/>
          <w:sz w:val="22"/>
          <w:szCs w:val="22"/>
          <w:u w:val="single"/>
        </w:rPr>
      </w:pPr>
    </w:p>
    <w:p w:rsidR="00630665" w:rsidRDefault="00630665" w:rsidP="00647607">
      <w:pPr>
        <w:pStyle w:val="Anschrift"/>
        <w:jc w:val="both"/>
        <w:rPr>
          <w:rFonts w:cs="Arial"/>
          <w:sz w:val="22"/>
          <w:szCs w:val="22"/>
        </w:rPr>
      </w:pPr>
      <w:r>
        <w:rPr>
          <w:rFonts w:cs="Arial"/>
          <w:sz w:val="22"/>
          <w:szCs w:val="22"/>
        </w:rPr>
        <w:t xml:space="preserve">Nach Ziff. 1.3 VV zu § 44 LHO dürfen </w:t>
      </w:r>
      <w:r w:rsidRPr="00630665">
        <w:rPr>
          <w:rFonts w:cs="Arial"/>
          <w:sz w:val="22"/>
          <w:szCs w:val="22"/>
        </w:rPr>
        <w:t xml:space="preserve">Zuwendungen zur Projektförderung dürfen nur für solche Vorhaben bewilligt werden, die noch nicht begonnen worden sind. </w:t>
      </w:r>
      <w:r>
        <w:rPr>
          <w:rFonts w:cs="Arial"/>
          <w:sz w:val="22"/>
          <w:szCs w:val="22"/>
        </w:rPr>
        <w:t>Ein über den Ausnahmer</w:t>
      </w:r>
      <w:r w:rsidRPr="00630665">
        <w:rPr>
          <w:rFonts w:cs="Arial"/>
          <w:sz w:val="22"/>
          <w:szCs w:val="22"/>
        </w:rPr>
        <w:t>a</w:t>
      </w:r>
      <w:r w:rsidRPr="00630665">
        <w:rPr>
          <w:rFonts w:cs="Arial"/>
          <w:sz w:val="22"/>
          <w:szCs w:val="22"/>
        </w:rPr>
        <w:t>h</w:t>
      </w:r>
      <w:r w:rsidRPr="00630665">
        <w:rPr>
          <w:rFonts w:cs="Arial"/>
          <w:sz w:val="22"/>
          <w:szCs w:val="22"/>
        </w:rPr>
        <w:t xml:space="preserve">men </w:t>
      </w:r>
      <w:r>
        <w:rPr>
          <w:rFonts w:cs="Arial"/>
          <w:sz w:val="22"/>
          <w:szCs w:val="22"/>
        </w:rPr>
        <w:t>(Planung, Grunderwerb, Herrichten de</w:t>
      </w:r>
      <w:r w:rsidR="002079D3">
        <w:rPr>
          <w:rFonts w:cs="Arial"/>
          <w:sz w:val="22"/>
          <w:szCs w:val="22"/>
        </w:rPr>
        <w:t>s</w:t>
      </w:r>
      <w:r>
        <w:rPr>
          <w:rFonts w:cs="Arial"/>
          <w:sz w:val="22"/>
          <w:szCs w:val="22"/>
        </w:rPr>
        <w:t xml:space="preserve"> Grundstücks) </w:t>
      </w:r>
      <w:r w:rsidR="000E5A94" w:rsidRPr="00630665">
        <w:rPr>
          <w:rFonts w:cs="Arial"/>
          <w:sz w:val="22"/>
          <w:szCs w:val="22"/>
        </w:rPr>
        <w:t xml:space="preserve">der VV </w:t>
      </w:r>
      <w:r w:rsidR="000E5A94">
        <w:rPr>
          <w:rFonts w:cs="Arial"/>
          <w:sz w:val="22"/>
          <w:szCs w:val="22"/>
        </w:rPr>
        <w:t xml:space="preserve">zu § 44 LHO </w:t>
      </w:r>
      <w:r w:rsidR="002079D3">
        <w:rPr>
          <w:rFonts w:cs="Arial"/>
          <w:sz w:val="22"/>
          <w:szCs w:val="22"/>
        </w:rPr>
        <w:t>hinausgehe</w:t>
      </w:r>
      <w:r w:rsidR="002079D3">
        <w:rPr>
          <w:rFonts w:cs="Arial"/>
          <w:sz w:val="22"/>
          <w:szCs w:val="22"/>
        </w:rPr>
        <w:t>n</w:t>
      </w:r>
      <w:r w:rsidR="002079D3">
        <w:rPr>
          <w:rFonts w:cs="Arial"/>
          <w:sz w:val="22"/>
          <w:szCs w:val="22"/>
        </w:rPr>
        <w:t xml:space="preserve">der und damit </w:t>
      </w:r>
      <w:r w:rsidRPr="002079D3">
        <w:rPr>
          <w:rFonts w:cs="Arial"/>
          <w:b/>
          <w:sz w:val="22"/>
          <w:szCs w:val="22"/>
        </w:rPr>
        <w:t>unzulässiger vorzeitiger Vorhabenbeginn</w:t>
      </w:r>
      <w:r>
        <w:rPr>
          <w:rFonts w:cs="Arial"/>
          <w:sz w:val="22"/>
          <w:szCs w:val="22"/>
        </w:rPr>
        <w:t xml:space="preserve"> stellt einen </w:t>
      </w:r>
      <w:r w:rsidR="00D31254">
        <w:rPr>
          <w:rFonts w:cs="Arial"/>
          <w:sz w:val="22"/>
          <w:szCs w:val="22"/>
        </w:rPr>
        <w:t>Verst</w:t>
      </w:r>
      <w:r>
        <w:rPr>
          <w:rFonts w:cs="Arial"/>
          <w:sz w:val="22"/>
          <w:szCs w:val="22"/>
        </w:rPr>
        <w:t>o</w:t>
      </w:r>
      <w:r w:rsidR="00D31254">
        <w:rPr>
          <w:rFonts w:cs="Arial"/>
          <w:sz w:val="22"/>
          <w:szCs w:val="22"/>
        </w:rPr>
        <w:t xml:space="preserve">ß gegen die </w:t>
      </w:r>
      <w:r w:rsidR="002079D3">
        <w:rPr>
          <w:rFonts w:cs="Arial"/>
          <w:sz w:val="22"/>
          <w:szCs w:val="22"/>
        </w:rPr>
        <w:t>z</w:t>
      </w:r>
      <w:r w:rsidR="002079D3">
        <w:rPr>
          <w:rFonts w:cs="Arial"/>
          <w:sz w:val="22"/>
          <w:szCs w:val="22"/>
        </w:rPr>
        <w:t>u</w:t>
      </w:r>
      <w:r w:rsidR="002079D3">
        <w:rPr>
          <w:rFonts w:cs="Arial"/>
          <w:sz w:val="22"/>
          <w:szCs w:val="22"/>
        </w:rPr>
        <w:t xml:space="preserve">wendungsrechtlichen </w:t>
      </w:r>
      <w:r w:rsidR="00D31254">
        <w:rPr>
          <w:rFonts w:cs="Arial"/>
          <w:sz w:val="22"/>
          <w:szCs w:val="22"/>
        </w:rPr>
        <w:t xml:space="preserve">Bestimmungen </w:t>
      </w:r>
      <w:r>
        <w:rPr>
          <w:rFonts w:cs="Arial"/>
          <w:sz w:val="22"/>
          <w:szCs w:val="22"/>
        </w:rPr>
        <w:t xml:space="preserve">dar. Wenn </w:t>
      </w:r>
      <w:r w:rsidR="00646E42">
        <w:rPr>
          <w:rFonts w:cs="Arial"/>
          <w:sz w:val="22"/>
          <w:szCs w:val="22"/>
        </w:rPr>
        <w:t xml:space="preserve">nach Erteilung eines Zuwendungsbescheides festgestellt wird, dass mit einem </w:t>
      </w:r>
      <w:r>
        <w:rPr>
          <w:rFonts w:cs="Arial"/>
          <w:sz w:val="22"/>
          <w:szCs w:val="22"/>
        </w:rPr>
        <w:t>Vorhaben vor dem Beginn des Bewilligungszeitraumes (Datum des ZWB oder der Zulassung eines förderunschädlichen Vorzeitbeginnes) begonnen w</w:t>
      </w:r>
      <w:r w:rsidR="00646E42">
        <w:rPr>
          <w:rFonts w:cs="Arial"/>
          <w:sz w:val="22"/>
          <w:szCs w:val="22"/>
        </w:rPr>
        <w:t>u</w:t>
      </w:r>
      <w:r>
        <w:rPr>
          <w:rFonts w:cs="Arial"/>
          <w:sz w:val="22"/>
          <w:szCs w:val="22"/>
        </w:rPr>
        <w:t xml:space="preserve">rde, </w:t>
      </w:r>
      <w:r w:rsidR="00646E42">
        <w:rPr>
          <w:rFonts w:cs="Arial"/>
          <w:sz w:val="22"/>
          <w:szCs w:val="22"/>
        </w:rPr>
        <w:t>ist ein</w:t>
      </w:r>
      <w:r>
        <w:rPr>
          <w:rFonts w:cs="Arial"/>
          <w:sz w:val="22"/>
          <w:szCs w:val="22"/>
        </w:rPr>
        <w:t xml:space="preserve"> derartige</w:t>
      </w:r>
      <w:r w:rsidR="00646E42">
        <w:rPr>
          <w:rFonts w:cs="Arial"/>
          <w:sz w:val="22"/>
          <w:szCs w:val="22"/>
        </w:rPr>
        <w:t>r</w:t>
      </w:r>
      <w:r>
        <w:rPr>
          <w:rFonts w:cs="Arial"/>
          <w:sz w:val="22"/>
          <w:szCs w:val="22"/>
        </w:rPr>
        <w:t xml:space="preserve"> Ver</w:t>
      </w:r>
      <w:r w:rsidR="00646E42">
        <w:rPr>
          <w:rFonts w:cs="Arial"/>
          <w:sz w:val="22"/>
          <w:szCs w:val="22"/>
        </w:rPr>
        <w:t>sto</w:t>
      </w:r>
      <w:r w:rsidR="002079D3">
        <w:rPr>
          <w:rFonts w:cs="Arial"/>
          <w:sz w:val="22"/>
          <w:szCs w:val="22"/>
        </w:rPr>
        <w:t>ß</w:t>
      </w:r>
      <w:r>
        <w:rPr>
          <w:rFonts w:cs="Arial"/>
          <w:sz w:val="22"/>
          <w:szCs w:val="22"/>
        </w:rPr>
        <w:t xml:space="preserve"> nach Art. 35 VO (EU) Nr. 640/2014 zu sanktionieren. </w:t>
      </w:r>
      <w:r w:rsidR="002079D3" w:rsidRPr="002079D3">
        <w:rPr>
          <w:rFonts w:cs="Arial"/>
          <w:sz w:val="22"/>
          <w:szCs w:val="22"/>
        </w:rPr>
        <w:t xml:space="preserve">Die </w:t>
      </w:r>
      <w:r w:rsidR="002079D3" w:rsidRPr="002079D3">
        <w:rPr>
          <w:rFonts w:cs="Arial"/>
          <w:b/>
          <w:sz w:val="22"/>
          <w:szCs w:val="22"/>
        </w:rPr>
        <w:t>vom Vorzei</w:t>
      </w:r>
      <w:r w:rsidR="002079D3" w:rsidRPr="002079D3">
        <w:rPr>
          <w:rFonts w:cs="Arial"/>
          <w:b/>
          <w:sz w:val="22"/>
          <w:szCs w:val="22"/>
        </w:rPr>
        <w:t>t</w:t>
      </w:r>
      <w:r w:rsidR="002079D3" w:rsidRPr="002079D3">
        <w:rPr>
          <w:rFonts w:cs="Arial"/>
          <w:b/>
          <w:sz w:val="22"/>
          <w:szCs w:val="22"/>
        </w:rPr>
        <w:t>verstoß</w:t>
      </w:r>
      <w:r w:rsidR="002079D3" w:rsidRPr="002079D3">
        <w:rPr>
          <w:rFonts w:cs="Arial"/>
          <w:sz w:val="22"/>
          <w:szCs w:val="22"/>
        </w:rPr>
        <w:t xml:space="preserve"> </w:t>
      </w:r>
      <w:r w:rsidR="002079D3" w:rsidRPr="002079D3">
        <w:rPr>
          <w:rFonts w:cs="Arial"/>
          <w:b/>
          <w:sz w:val="22"/>
          <w:szCs w:val="22"/>
        </w:rPr>
        <w:t>betroffenen Gewerke/Leistungen (nicht das gesamte Vorhaben!)</w:t>
      </w:r>
      <w:r w:rsidR="002079D3" w:rsidRPr="002079D3">
        <w:rPr>
          <w:rFonts w:cs="Arial"/>
          <w:sz w:val="22"/>
          <w:szCs w:val="22"/>
        </w:rPr>
        <w:t xml:space="preserve"> sind mit einem Berichtigungssatz von 100 % zu ahnden</w:t>
      </w:r>
      <w:r w:rsidR="00646E42">
        <w:rPr>
          <w:rFonts w:cs="Arial"/>
          <w:sz w:val="22"/>
          <w:szCs w:val="22"/>
        </w:rPr>
        <w:t xml:space="preserve"> (vgl. auch EuGH-Urteil vom 07.07.2016, C-111/15, übersandt mit ZS-Erlass vom 12.07.2016)</w:t>
      </w:r>
      <w:r w:rsidR="002079D3" w:rsidRPr="002079D3">
        <w:rPr>
          <w:rFonts w:cs="Arial"/>
          <w:sz w:val="22"/>
          <w:szCs w:val="22"/>
        </w:rPr>
        <w:t>. Überschreiten die verfrüht beauftragten bzw. bego</w:t>
      </w:r>
      <w:r w:rsidR="002079D3" w:rsidRPr="002079D3">
        <w:rPr>
          <w:rFonts w:cs="Arial"/>
          <w:sz w:val="22"/>
          <w:szCs w:val="22"/>
        </w:rPr>
        <w:t>n</w:t>
      </w:r>
      <w:r w:rsidR="002079D3" w:rsidRPr="002079D3">
        <w:rPr>
          <w:rFonts w:cs="Arial"/>
          <w:sz w:val="22"/>
          <w:szCs w:val="22"/>
        </w:rPr>
        <w:t xml:space="preserve">nen Leistungen 50 % der förderfähigen Gesamtausgaben und sind daher als vorhabenprägend anzusehen, ist zu prüfen, ob ein schwerwiegender Verstoß n. Art. 35 (5) oder ein Fall n. Art. 35 (6) VO </w:t>
      </w:r>
      <w:r w:rsidR="002079D3">
        <w:rPr>
          <w:rFonts w:cs="Arial"/>
          <w:sz w:val="22"/>
          <w:szCs w:val="22"/>
        </w:rPr>
        <w:t xml:space="preserve">(EU) </w:t>
      </w:r>
      <w:r w:rsidR="002079D3" w:rsidRPr="002079D3">
        <w:rPr>
          <w:rFonts w:cs="Arial"/>
          <w:sz w:val="22"/>
          <w:szCs w:val="22"/>
        </w:rPr>
        <w:t>640/2014 vorliegt, so dass die Förderung vollständig zurückgenommen wird mit weiteren Förderausschlüssen im aktuellen und folgenden Kalenderjahr.</w:t>
      </w:r>
    </w:p>
    <w:p w:rsidR="00D31254" w:rsidRPr="00D31254" w:rsidRDefault="00D31254" w:rsidP="00647607">
      <w:pPr>
        <w:pStyle w:val="Anschrift"/>
        <w:jc w:val="both"/>
        <w:rPr>
          <w:rFonts w:cs="Arial"/>
          <w:sz w:val="22"/>
          <w:szCs w:val="22"/>
        </w:rPr>
      </w:pPr>
    </w:p>
    <w:p w:rsidR="00EA06AC" w:rsidRDefault="009D7EF8" w:rsidP="00647607">
      <w:pPr>
        <w:pStyle w:val="Anschrift"/>
        <w:jc w:val="both"/>
        <w:rPr>
          <w:rFonts w:cs="Arial"/>
          <w:sz w:val="22"/>
          <w:szCs w:val="22"/>
        </w:rPr>
      </w:pPr>
      <w:r>
        <w:rPr>
          <w:rFonts w:cs="Arial"/>
          <w:sz w:val="22"/>
          <w:szCs w:val="22"/>
        </w:rPr>
        <w:t>Um eine möglichst einheitliche Bewertung vergleichbarer Verstöße im ELER-finanzierten B</w:t>
      </w:r>
      <w:r>
        <w:rPr>
          <w:rFonts w:cs="Arial"/>
          <w:sz w:val="22"/>
          <w:szCs w:val="22"/>
        </w:rPr>
        <w:t>e</w:t>
      </w:r>
      <w:r>
        <w:rPr>
          <w:rFonts w:cs="Arial"/>
          <w:sz w:val="22"/>
          <w:szCs w:val="22"/>
        </w:rPr>
        <w:t>reich zu gewährleisten, gibt d</w:t>
      </w:r>
      <w:r w:rsidR="004870C6">
        <w:rPr>
          <w:rFonts w:cs="Arial"/>
          <w:sz w:val="22"/>
          <w:szCs w:val="22"/>
        </w:rPr>
        <w:t xml:space="preserve">ie nachfolgende Tabelle </w:t>
      </w:r>
      <w:r>
        <w:rPr>
          <w:rFonts w:cs="Arial"/>
          <w:sz w:val="22"/>
          <w:szCs w:val="22"/>
        </w:rPr>
        <w:t>ein</w:t>
      </w:r>
      <w:r w:rsidR="004870C6">
        <w:rPr>
          <w:rFonts w:cs="Arial"/>
          <w:sz w:val="22"/>
          <w:szCs w:val="22"/>
        </w:rPr>
        <w:t>en Rahmen für vorzunehmende E</w:t>
      </w:r>
      <w:r w:rsidR="004870C6">
        <w:rPr>
          <w:rFonts w:cs="Arial"/>
          <w:sz w:val="22"/>
          <w:szCs w:val="22"/>
        </w:rPr>
        <w:t>r</w:t>
      </w:r>
      <w:r w:rsidR="004870C6">
        <w:rPr>
          <w:rFonts w:cs="Arial"/>
          <w:sz w:val="22"/>
          <w:szCs w:val="22"/>
        </w:rPr>
        <w:t xml:space="preserve">messensentscheidungen </w:t>
      </w:r>
      <w:r>
        <w:rPr>
          <w:rFonts w:cs="Arial"/>
          <w:sz w:val="22"/>
          <w:szCs w:val="22"/>
        </w:rPr>
        <w:t>bei Artikel-35-Verwaltungssanktionen vor.</w:t>
      </w:r>
      <w:r w:rsidR="00B07D10">
        <w:rPr>
          <w:rFonts w:cs="Arial"/>
          <w:sz w:val="22"/>
          <w:szCs w:val="22"/>
        </w:rPr>
        <w:t xml:space="preserve"> </w:t>
      </w:r>
    </w:p>
    <w:p w:rsidR="00B07D10" w:rsidRDefault="00B07D10" w:rsidP="00585004">
      <w:pPr>
        <w:pStyle w:val="Anschrift"/>
        <w:spacing w:before="120"/>
        <w:jc w:val="both"/>
        <w:rPr>
          <w:rFonts w:cs="Arial"/>
          <w:sz w:val="22"/>
          <w:szCs w:val="22"/>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8"/>
        <w:gridCol w:w="850"/>
        <w:gridCol w:w="1560"/>
      </w:tblGrid>
      <w:tr w:rsidR="009048C3" w:rsidRPr="003F7B61" w:rsidTr="009048C3">
        <w:trPr>
          <w:trHeight w:val="567"/>
        </w:trPr>
        <w:tc>
          <w:tcPr>
            <w:tcW w:w="7088" w:type="dxa"/>
            <w:shd w:val="clear" w:color="auto" w:fill="D9D9D9" w:themeFill="background1" w:themeFillShade="D9"/>
            <w:vAlign w:val="center"/>
          </w:tcPr>
          <w:p w:rsidR="009048C3" w:rsidRPr="009048C3" w:rsidRDefault="009048C3" w:rsidP="002828A1">
            <w:pPr>
              <w:rPr>
                <w:rFonts w:asciiTheme="minorHAnsi" w:hAnsiTheme="minorHAnsi"/>
                <w:sz w:val="22"/>
                <w:szCs w:val="22"/>
              </w:rPr>
            </w:pPr>
            <w:r w:rsidRPr="009048C3">
              <w:rPr>
                <w:rFonts w:asciiTheme="minorHAnsi" w:hAnsiTheme="minorHAnsi"/>
                <w:sz w:val="22"/>
                <w:szCs w:val="22"/>
              </w:rPr>
              <w:t>Beschreibung der Verstöße</w:t>
            </w:r>
          </w:p>
        </w:tc>
        <w:tc>
          <w:tcPr>
            <w:tcW w:w="850" w:type="dxa"/>
            <w:shd w:val="clear" w:color="auto" w:fill="D9D9D9" w:themeFill="background1" w:themeFillShade="D9"/>
            <w:vAlign w:val="center"/>
          </w:tcPr>
          <w:p w:rsidR="009048C3" w:rsidRPr="009048C3" w:rsidRDefault="009048C3" w:rsidP="002828A1">
            <w:pPr>
              <w:jc w:val="center"/>
              <w:rPr>
                <w:rFonts w:asciiTheme="minorHAnsi" w:hAnsiTheme="minorHAnsi"/>
                <w:sz w:val="22"/>
                <w:szCs w:val="22"/>
              </w:rPr>
            </w:pPr>
            <w:r w:rsidRPr="009048C3">
              <w:rPr>
                <w:rFonts w:asciiTheme="minorHAnsi" w:hAnsiTheme="minorHAnsi"/>
                <w:sz w:val="22"/>
                <w:szCs w:val="22"/>
              </w:rPr>
              <w:t>Kate-</w:t>
            </w:r>
            <w:proofErr w:type="spellStart"/>
            <w:r w:rsidRPr="009048C3">
              <w:rPr>
                <w:rFonts w:asciiTheme="minorHAnsi" w:hAnsiTheme="minorHAnsi"/>
                <w:sz w:val="22"/>
                <w:szCs w:val="22"/>
              </w:rPr>
              <w:t>gorie</w:t>
            </w:r>
            <w:proofErr w:type="spellEnd"/>
          </w:p>
        </w:tc>
        <w:tc>
          <w:tcPr>
            <w:tcW w:w="1560" w:type="dxa"/>
            <w:shd w:val="clear" w:color="auto" w:fill="D9D9D9" w:themeFill="background1" w:themeFillShade="D9"/>
            <w:vAlign w:val="center"/>
          </w:tcPr>
          <w:p w:rsidR="009048C3" w:rsidRPr="009048C3" w:rsidRDefault="009048C3" w:rsidP="002828A1">
            <w:pPr>
              <w:jc w:val="center"/>
              <w:rPr>
                <w:rFonts w:asciiTheme="minorHAnsi" w:hAnsiTheme="minorHAnsi"/>
                <w:sz w:val="22"/>
                <w:szCs w:val="22"/>
              </w:rPr>
            </w:pPr>
            <w:r w:rsidRPr="009048C3">
              <w:rPr>
                <w:rFonts w:asciiTheme="minorHAnsi" w:hAnsiTheme="minorHAnsi"/>
                <w:sz w:val="22"/>
                <w:szCs w:val="22"/>
              </w:rPr>
              <w:t>Sanktion/</w:t>
            </w:r>
          </w:p>
          <w:p w:rsidR="009048C3" w:rsidRPr="009048C3" w:rsidRDefault="009048C3" w:rsidP="002828A1">
            <w:pPr>
              <w:jc w:val="center"/>
              <w:rPr>
                <w:rFonts w:asciiTheme="minorHAnsi" w:hAnsiTheme="minorHAnsi"/>
                <w:sz w:val="22"/>
                <w:szCs w:val="22"/>
              </w:rPr>
            </w:pPr>
            <w:r w:rsidRPr="009048C3">
              <w:rPr>
                <w:rFonts w:asciiTheme="minorHAnsi" w:hAnsiTheme="minorHAnsi"/>
                <w:sz w:val="22"/>
                <w:szCs w:val="22"/>
              </w:rPr>
              <w:t>Rechtsfolge</w:t>
            </w:r>
          </w:p>
        </w:tc>
      </w:tr>
      <w:tr w:rsidR="009048C3" w:rsidRPr="003F7B61" w:rsidTr="009D7EF8">
        <w:tc>
          <w:tcPr>
            <w:tcW w:w="7088" w:type="dxa"/>
          </w:tcPr>
          <w:p w:rsidR="009048C3" w:rsidRPr="009048C3" w:rsidRDefault="006D22A9" w:rsidP="006D22A9">
            <w:pPr>
              <w:spacing w:before="60" w:after="60"/>
              <w:rPr>
                <w:b/>
                <w:sz w:val="20"/>
                <w:szCs w:val="20"/>
              </w:rPr>
            </w:pPr>
            <w:r>
              <w:rPr>
                <w:b/>
                <w:sz w:val="20"/>
                <w:szCs w:val="20"/>
              </w:rPr>
              <w:t>G</w:t>
            </w:r>
            <w:r w:rsidR="009048C3" w:rsidRPr="009048C3">
              <w:rPr>
                <w:b/>
                <w:sz w:val="20"/>
                <w:szCs w:val="20"/>
              </w:rPr>
              <w:t xml:space="preserve">eringfügige Verstöße </w:t>
            </w:r>
            <w:r w:rsidR="009048C3" w:rsidRPr="009048C3">
              <w:rPr>
                <w:sz w:val="20"/>
                <w:szCs w:val="20"/>
              </w:rPr>
              <w:t>gem</w:t>
            </w:r>
            <w:r w:rsidR="00502BEF">
              <w:rPr>
                <w:sz w:val="20"/>
                <w:szCs w:val="20"/>
              </w:rPr>
              <w:t>äß</w:t>
            </w:r>
            <w:r w:rsidR="009048C3" w:rsidRPr="009048C3">
              <w:rPr>
                <w:sz w:val="20"/>
                <w:szCs w:val="20"/>
              </w:rPr>
              <w:t xml:space="preserve"> Artikel 64 Absatz 7 Buchstabe b VO (EU) Nr. 1306/2013</w:t>
            </w:r>
            <w:r w:rsidR="00487386">
              <w:rPr>
                <w:sz w:val="20"/>
                <w:szCs w:val="20"/>
              </w:rPr>
              <w:t>:</w:t>
            </w:r>
          </w:p>
          <w:p w:rsidR="00487386" w:rsidRPr="006D22A9" w:rsidRDefault="009D7EF8" w:rsidP="006D22A9">
            <w:pPr>
              <w:pStyle w:val="Listenabsatz"/>
              <w:numPr>
                <w:ilvl w:val="0"/>
                <w:numId w:val="18"/>
              </w:numPr>
              <w:spacing w:after="60"/>
              <w:rPr>
                <w:sz w:val="20"/>
                <w:szCs w:val="20"/>
              </w:rPr>
            </w:pPr>
            <w:r w:rsidRPr="006D22A9">
              <w:rPr>
                <w:sz w:val="20"/>
                <w:szCs w:val="20"/>
              </w:rPr>
              <w:t>F</w:t>
            </w:r>
            <w:r w:rsidR="009048C3" w:rsidRPr="006D22A9">
              <w:rPr>
                <w:sz w:val="20"/>
                <w:szCs w:val="20"/>
              </w:rPr>
              <w:t>ormeller Fehler oder Fristversäumnis, ohne Auswirkungen auf die Durchführ</w:t>
            </w:r>
            <w:r w:rsidR="00EF0842" w:rsidRPr="006D22A9">
              <w:rPr>
                <w:sz w:val="20"/>
                <w:szCs w:val="20"/>
              </w:rPr>
              <w:t>ung</w:t>
            </w:r>
            <w:r w:rsidR="009048C3" w:rsidRPr="006D22A9">
              <w:rPr>
                <w:sz w:val="20"/>
                <w:szCs w:val="20"/>
              </w:rPr>
              <w:t xml:space="preserve"> de</w:t>
            </w:r>
            <w:r w:rsidR="00487386" w:rsidRPr="006D22A9">
              <w:rPr>
                <w:sz w:val="20"/>
                <w:szCs w:val="20"/>
              </w:rPr>
              <w:t>s</w:t>
            </w:r>
            <w:r w:rsidR="009048C3" w:rsidRPr="006D22A9">
              <w:rPr>
                <w:sz w:val="20"/>
                <w:szCs w:val="20"/>
              </w:rPr>
              <w:t xml:space="preserve"> </w:t>
            </w:r>
            <w:r w:rsidR="00EF0842" w:rsidRPr="006D22A9">
              <w:rPr>
                <w:sz w:val="20"/>
                <w:szCs w:val="20"/>
              </w:rPr>
              <w:t xml:space="preserve">genehmigten </w:t>
            </w:r>
            <w:r w:rsidR="009048C3" w:rsidRPr="006D22A9">
              <w:rPr>
                <w:sz w:val="20"/>
                <w:szCs w:val="20"/>
              </w:rPr>
              <w:t>Förder</w:t>
            </w:r>
            <w:r w:rsidR="00CB1B51" w:rsidRPr="006D22A9">
              <w:rPr>
                <w:sz w:val="20"/>
                <w:szCs w:val="20"/>
              </w:rPr>
              <w:t>vorhabens</w:t>
            </w:r>
            <w:r w:rsidR="0070730B" w:rsidRPr="006D22A9">
              <w:rPr>
                <w:sz w:val="20"/>
                <w:szCs w:val="20"/>
              </w:rPr>
              <w:t xml:space="preserve"> insgesamt und </w:t>
            </w:r>
            <w:r w:rsidR="00EF0842" w:rsidRPr="006D22A9">
              <w:rPr>
                <w:sz w:val="20"/>
                <w:szCs w:val="20"/>
              </w:rPr>
              <w:t xml:space="preserve">des damit verbundenen </w:t>
            </w:r>
            <w:r w:rsidR="0070730B" w:rsidRPr="006D22A9">
              <w:rPr>
                <w:sz w:val="20"/>
                <w:szCs w:val="20"/>
              </w:rPr>
              <w:t>Zuwendungszweckes</w:t>
            </w:r>
            <w:r w:rsidR="00EF0842" w:rsidRPr="006D22A9">
              <w:rPr>
                <w:sz w:val="20"/>
                <w:szCs w:val="20"/>
              </w:rPr>
              <w:t xml:space="preserve"> bzw. </w:t>
            </w:r>
            <w:r w:rsidR="0070730B" w:rsidRPr="006D22A9">
              <w:rPr>
                <w:sz w:val="20"/>
                <w:szCs w:val="20"/>
              </w:rPr>
              <w:t>-ziele</w:t>
            </w:r>
            <w:r w:rsidR="00EF0842" w:rsidRPr="006D22A9">
              <w:rPr>
                <w:sz w:val="20"/>
                <w:szCs w:val="20"/>
              </w:rPr>
              <w:t>s</w:t>
            </w:r>
            <w:r w:rsidR="006D22A9" w:rsidRPr="006D22A9">
              <w:rPr>
                <w:sz w:val="20"/>
                <w:szCs w:val="20"/>
              </w:rPr>
              <w:t>.</w:t>
            </w:r>
            <w:r w:rsidR="006D22A9">
              <w:rPr>
                <w:sz w:val="20"/>
                <w:szCs w:val="20"/>
              </w:rPr>
              <w:t xml:space="preserve"> </w:t>
            </w:r>
            <w:r w:rsidR="006D22A9">
              <w:rPr>
                <w:sz w:val="20"/>
                <w:szCs w:val="20"/>
              </w:rPr>
              <w:br/>
            </w:r>
            <w:r w:rsidR="009048C3" w:rsidRPr="006D22A9">
              <w:rPr>
                <w:sz w:val="20"/>
                <w:szCs w:val="20"/>
              </w:rPr>
              <w:t xml:space="preserve">Die erforderlichen Unterlagen werden nach der ersten Aufforderung innerhalb der von der Behörde gesetzten Frist </w:t>
            </w:r>
            <w:r w:rsidR="0070730B" w:rsidRPr="006D22A9">
              <w:rPr>
                <w:sz w:val="20"/>
                <w:szCs w:val="20"/>
              </w:rPr>
              <w:t xml:space="preserve">ordnungsgemäß </w:t>
            </w:r>
            <w:r w:rsidR="009048C3" w:rsidRPr="006D22A9">
              <w:rPr>
                <w:sz w:val="20"/>
                <w:szCs w:val="20"/>
              </w:rPr>
              <w:t>nachgereicht.</w:t>
            </w:r>
          </w:p>
          <w:p w:rsidR="00903DF8" w:rsidRPr="006D22A9" w:rsidRDefault="00903DF8" w:rsidP="006D22A9">
            <w:pPr>
              <w:pStyle w:val="Listenabsatz"/>
              <w:numPr>
                <w:ilvl w:val="0"/>
                <w:numId w:val="18"/>
              </w:numPr>
              <w:spacing w:after="60"/>
              <w:rPr>
                <w:sz w:val="20"/>
                <w:szCs w:val="20"/>
              </w:rPr>
            </w:pPr>
            <w:r w:rsidRPr="006D22A9">
              <w:rPr>
                <w:sz w:val="20"/>
                <w:szCs w:val="20"/>
              </w:rPr>
              <w:t>Erstverstöße gegen die Publizitätsvorschriften</w:t>
            </w:r>
            <w:r w:rsidR="009D7EF8" w:rsidRPr="006D22A9">
              <w:rPr>
                <w:sz w:val="20"/>
                <w:szCs w:val="20"/>
              </w:rPr>
              <w:t>.</w:t>
            </w:r>
          </w:p>
        </w:tc>
        <w:tc>
          <w:tcPr>
            <w:tcW w:w="850" w:type="dxa"/>
            <w:vAlign w:val="center"/>
          </w:tcPr>
          <w:p w:rsidR="009048C3" w:rsidRPr="009D7EF8" w:rsidRDefault="009048C3" w:rsidP="009048C3">
            <w:pPr>
              <w:spacing w:before="60"/>
              <w:jc w:val="center"/>
              <w:rPr>
                <w:sz w:val="20"/>
                <w:szCs w:val="20"/>
              </w:rPr>
            </w:pPr>
            <w:r w:rsidRPr="009D7EF8">
              <w:rPr>
                <w:sz w:val="20"/>
                <w:szCs w:val="20"/>
              </w:rPr>
              <w:t>1</w:t>
            </w:r>
          </w:p>
        </w:tc>
        <w:tc>
          <w:tcPr>
            <w:tcW w:w="1560" w:type="dxa"/>
            <w:vAlign w:val="center"/>
          </w:tcPr>
          <w:p w:rsidR="009048C3" w:rsidRPr="009048C3" w:rsidRDefault="009048C3" w:rsidP="009048C3">
            <w:pPr>
              <w:spacing w:before="60"/>
              <w:jc w:val="center"/>
              <w:rPr>
                <w:sz w:val="20"/>
                <w:szCs w:val="20"/>
              </w:rPr>
            </w:pPr>
            <w:r w:rsidRPr="009048C3">
              <w:rPr>
                <w:sz w:val="20"/>
                <w:szCs w:val="20"/>
              </w:rPr>
              <w:t>bis 3 %</w:t>
            </w:r>
          </w:p>
          <w:p w:rsidR="009048C3" w:rsidRDefault="009048C3" w:rsidP="002828A1">
            <w:pPr>
              <w:jc w:val="center"/>
              <w:rPr>
                <w:sz w:val="20"/>
                <w:szCs w:val="20"/>
              </w:rPr>
            </w:pPr>
          </w:p>
          <w:p w:rsidR="009D7EF8" w:rsidRPr="009048C3" w:rsidRDefault="009D7EF8" w:rsidP="002828A1">
            <w:pPr>
              <w:jc w:val="center"/>
              <w:rPr>
                <w:sz w:val="20"/>
                <w:szCs w:val="20"/>
              </w:rPr>
            </w:pPr>
          </w:p>
          <w:p w:rsidR="009048C3" w:rsidRPr="009048C3" w:rsidRDefault="009048C3" w:rsidP="002828A1">
            <w:pPr>
              <w:jc w:val="center"/>
              <w:rPr>
                <w:sz w:val="20"/>
                <w:szCs w:val="20"/>
              </w:rPr>
            </w:pPr>
            <w:r w:rsidRPr="009048C3">
              <w:rPr>
                <w:sz w:val="20"/>
                <w:szCs w:val="20"/>
              </w:rPr>
              <w:t>nur</w:t>
            </w:r>
          </w:p>
          <w:p w:rsidR="009048C3" w:rsidRPr="009048C3" w:rsidRDefault="009048C3" w:rsidP="002828A1">
            <w:pPr>
              <w:jc w:val="center"/>
              <w:rPr>
                <w:sz w:val="20"/>
                <w:szCs w:val="20"/>
              </w:rPr>
            </w:pPr>
            <w:r w:rsidRPr="009048C3">
              <w:rPr>
                <w:sz w:val="20"/>
                <w:szCs w:val="20"/>
              </w:rPr>
              <w:t>Verwarnung</w:t>
            </w:r>
          </w:p>
        </w:tc>
      </w:tr>
      <w:tr w:rsidR="009048C3" w:rsidRPr="003F7B61" w:rsidTr="002672B3">
        <w:tc>
          <w:tcPr>
            <w:tcW w:w="7088" w:type="dxa"/>
            <w:tcBorders>
              <w:bottom w:val="single" w:sz="4" w:space="0" w:color="auto"/>
            </w:tcBorders>
          </w:tcPr>
          <w:p w:rsidR="009048C3" w:rsidRPr="009048C3" w:rsidRDefault="006D22A9" w:rsidP="006D22A9">
            <w:pPr>
              <w:spacing w:before="60" w:after="60"/>
              <w:rPr>
                <w:b/>
                <w:sz w:val="20"/>
                <w:szCs w:val="20"/>
              </w:rPr>
            </w:pPr>
            <w:r>
              <w:rPr>
                <w:b/>
                <w:sz w:val="20"/>
                <w:szCs w:val="20"/>
              </w:rPr>
              <w:t>L</w:t>
            </w:r>
            <w:r w:rsidR="009048C3" w:rsidRPr="009048C3">
              <w:rPr>
                <w:b/>
                <w:sz w:val="20"/>
                <w:szCs w:val="20"/>
              </w:rPr>
              <w:t>eichte Verstöße</w:t>
            </w:r>
            <w:r>
              <w:rPr>
                <w:b/>
                <w:sz w:val="20"/>
                <w:szCs w:val="20"/>
              </w:rPr>
              <w:t>:</w:t>
            </w:r>
          </w:p>
          <w:p w:rsidR="009048C3" w:rsidRPr="006D22A9" w:rsidRDefault="006D22A9" w:rsidP="006D22A9">
            <w:pPr>
              <w:pStyle w:val="Listenabsatz"/>
              <w:numPr>
                <w:ilvl w:val="0"/>
                <w:numId w:val="19"/>
              </w:numPr>
              <w:rPr>
                <w:sz w:val="20"/>
                <w:szCs w:val="20"/>
              </w:rPr>
            </w:pPr>
            <w:r w:rsidRPr="006D22A9">
              <w:rPr>
                <w:sz w:val="20"/>
                <w:szCs w:val="20"/>
              </w:rPr>
              <w:t xml:space="preserve">Verstöße der </w:t>
            </w:r>
            <w:r w:rsidR="009048C3" w:rsidRPr="006D22A9">
              <w:rPr>
                <w:sz w:val="20"/>
                <w:szCs w:val="20"/>
              </w:rPr>
              <w:t xml:space="preserve">Kategorie 1, aber erst nach der zweiten Aufforderung </w:t>
            </w:r>
            <w:r w:rsidR="008328D1" w:rsidRPr="006D22A9">
              <w:rPr>
                <w:sz w:val="20"/>
                <w:szCs w:val="20"/>
              </w:rPr>
              <w:t xml:space="preserve">werden die erforderlichen Unterlagen </w:t>
            </w:r>
            <w:r w:rsidR="009048C3" w:rsidRPr="006D22A9">
              <w:rPr>
                <w:sz w:val="20"/>
                <w:szCs w:val="20"/>
              </w:rPr>
              <w:t>nachgereicht</w:t>
            </w:r>
            <w:r w:rsidR="008328D1" w:rsidRPr="006D22A9">
              <w:rPr>
                <w:sz w:val="20"/>
                <w:szCs w:val="20"/>
              </w:rPr>
              <w:t xml:space="preserve"> bzw. Vorschriften (bspw. zur Publizität) eingehalten</w:t>
            </w:r>
          </w:p>
          <w:p w:rsidR="009048C3" w:rsidRPr="006D22A9" w:rsidRDefault="006D22A9" w:rsidP="006D22A9">
            <w:pPr>
              <w:pStyle w:val="Listenabsatz"/>
              <w:numPr>
                <w:ilvl w:val="0"/>
                <w:numId w:val="19"/>
              </w:numPr>
              <w:rPr>
                <w:sz w:val="20"/>
                <w:szCs w:val="20"/>
              </w:rPr>
            </w:pPr>
            <w:r w:rsidRPr="006D22A9">
              <w:rPr>
                <w:sz w:val="20"/>
                <w:szCs w:val="20"/>
              </w:rPr>
              <w:t>L</w:t>
            </w:r>
            <w:r w:rsidR="009048C3" w:rsidRPr="006D22A9">
              <w:rPr>
                <w:sz w:val="20"/>
                <w:szCs w:val="20"/>
              </w:rPr>
              <w:t>eichte Beeinträchtigung der Durchführ</w:t>
            </w:r>
            <w:r w:rsidR="00EF0842" w:rsidRPr="006D22A9">
              <w:rPr>
                <w:sz w:val="20"/>
                <w:szCs w:val="20"/>
              </w:rPr>
              <w:t xml:space="preserve">ung </w:t>
            </w:r>
            <w:r w:rsidR="009048C3" w:rsidRPr="006D22A9">
              <w:rPr>
                <w:sz w:val="20"/>
                <w:szCs w:val="20"/>
              </w:rPr>
              <w:t xml:space="preserve">des </w:t>
            </w:r>
            <w:r w:rsidR="0070730B" w:rsidRPr="006D22A9">
              <w:rPr>
                <w:sz w:val="20"/>
                <w:szCs w:val="20"/>
              </w:rPr>
              <w:t xml:space="preserve">genehmigten </w:t>
            </w:r>
            <w:r w:rsidR="00EF0842" w:rsidRPr="006D22A9">
              <w:rPr>
                <w:sz w:val="20"/>
                <w:szCs w:val="20"/>
              </w:rPr>
              <w:t>Förde</w:t>
            </w:r>
            <w:r w:rsidR="00EF0842" w:rsidRPr="006D22A9">
              <w:rPr>
                <w:sz w:val="20"/>
                <w:szCs w:val="20"/>
              </w:rPr>
              <w:t>r</w:t>
            </w:r>
            <w:r w:rsidR="00EF0842" w:rsidRPr="006D22A9">
              <w:rPr>
                <w:sz w:val="20"/>
                <w:szCs w:val="20"/>
              </w:rPr>
              <w:t>v</w:t>
            </w:r>
            <w:r w:rsidR="0070730B" w:rsidRPr="006D22A9">
              <w:rPr>
                <w:sz w:val="20"/>
                <w:szCs w:val="20"/>
              </w:rPr>
              <w:t xml:space="preserve">orhabens </w:t>
            </w:r>
            <w:r w:rsidR="00EF0842" w:rsidRPr="006D22A9">
              <w:rPr>
                <w:sz w:val="20"/>
                <w:szCs w:val="20"/>
              </w:rPr>
              <w:t xml:space="preserve">insgesamt und des damit verbundenen </w:t>
            </w:r>
            <w:r w:rsidR="0070730B" w:rsidRPr="006D22A9">
              <w:rPr>
                <w:sz w:val="20"/>
                <w:szCs w:val="20"/>
              </w:rPr>
              <w:t>Zuwendungszw</w:t>
            </w:r>
            <w:r w:rsidR="0070730B" w:rsidRPr="006D22A9">
              <w:rPr>
                <w:sz w:val="20"/>
                <w:szCs w:val="20"/>
              </w:rPr>
              <w:t>e</w:t>
            </w:r>
            <w:r w:rsidR="0070730B" w:rsidRPr="006D22A9">
              <w:rPr>
                <w:sz w:val="20"/>
                <w:szCs w:val="20"/>
              </w:rPr>
              <w:t>ckes</w:t>
            </w:r>
            <w:r w:rsidR="00EF0842" w:rsidRPr="006D22A9">
              <w:rPr>
                <w:sz w:val="20"/>
                <w:szCs w:val="20"/>
              </w:rPr>
              <w:t xml:space="preserve"> bzw. –</w:t>
            </w:r>
            <w:r>
              <w:rPr>
                <w:sz w:val="20"/>
                <w:szCs w:val="20"/>
              </w:rPr>
              <w:t>ziel</w:t>
            </w:r>
            <w:r w:rsidR="00B07D10">
              <w:rPr>
                <w:sz w:val="20"/>
                <w:szCs w:val="20"/>
              </w:rPr>
              <w:t>e</w:t>
            </w:r>
            <w:r w:rsidR="0070730B" w:rsidRPr="006D22A9">
              <w:rPr>
                <w:sz w:val="20"/>
                <w:szCs w:val="20"/>
              </w:rPr>
              <w:t>s</w:t>
            </w:r>
          </w:p>
          <w:p w:rsidR="009048C3" w:rsidRPr="006D22A9" w:rsidRDefault="006D22A9" w:rsidP="002828A1">
            <w:pPr>
              <w:pStyle w:val="Listenabsatz"/>
              <w:numPr>
                <w:ilvl w:val="0"/>
                <w:numId w:val="19"/>
              </w:numPr>
              <w:rPr>
                <w:sz w:val="20"/>
                <w:szCs w:val="20"/>
                <w:u w:val="single"/>
              </w:rPr>
            </w:pPr>
            <w:r w:rsidRPr="006D22A9">
              <w:rPr>
                <w:sz w:val="20"/>
                <w:szCs w:val="20"/>
              </w:rPr>
              <w:t>M</w:t>
            </w:r>
            <w:r w:rsidR="005D58CE" w:rsidRPr="006D22A9">
              <w:rPr>
                <w:sz w:val="20"/>
                <w:szCs w:val="20"/>
              </w:rPr>
              <w:t>ehr als dr</w:t>
            </w:r>
            <w:r w:rsidR="009048C3" w:rsidRPr="006D22A9">
              <w:rPr>
                <w:sz w:val="20"/>
                <w:szCs w:val="20"/>
              </w:rPr>
              <w:t>ei</w:t>
            </w:r>
            <w:r w:rsidR="005D58CE" w:rsidRPr="006D22A9">
              <w:rPr>
                <w:sz w:val="20"/>
                <w:szCs w:val="20"/>
              </w:rPr>
              <w:t xml:space="preserve"> Verstö</w:t>
            </w:r>
            <w:r w:rsidR="009048C3" w:rsidRPr="006D22A9">
              <w:rPr>
                <w:sz w:val="20"/>
                <w:szCs w:val="20"/>
              </w:rPr>
              <w:t>ß</w:t>
            </w:r>
            <w:r w:rsidR="005D58CE" w:rsidRPr="006D22A9">
              <w:rPr>
                <w:sz w:val="20"/>
                <w:szCs w:val="20"/>
              </w:rPr>
              <w:t>e</w:t>
            </w:r>
            <w:r w:rsidR="009048C3" w:rsidRPr="006D22A9">
              <w:rPr>
                <w:sz w:val="20"/>
                <w:szCs w:val="20"/>
              </w:rPr>
              <w:t xml:space="preserve"> der Kategorie 1</w:t>
            </w:r>
          </w:p>
          <w:p w:rsidR="009048C3" w:rsidRPr="006D22A9" w:rsidRDefault="006D22A9" w:rsidP="006D22A9">
            <w:pPr>
              <w:pStyle w:val="Listenabsatz"/>
              <w:numPr>
                <w:ilvl w:val="0"/>
                <w:numId w:val="19"/>
              </w:numPr>
              <w:spacing w:after="60"/>
              <w:rPr>
                <w:sz w:val="20"/>
                <w:szCs w:val="20"/>
              </w:rPr>
            </w:pPr>
            <w:r w:rsidRPr="006D22A9">
              <w:rPr>
                <w:sz w:val="20"/>
                <w:szCs w:val="20"/>
              </w:rPr>
              <w:t>L</w:t>
            </w:r>
            <w:r w:rsidR="009048C3" w:rsidRPr="006D22A9">
              <w:rPr>
                <w:sz w:val="20"/>
                <w:szCs w:val="20"/>
              </w:rPr>
              <w:t>eichte Verstöße gegen das Vergaberecht</w:t>
            </w:r>
            <w:r w:rsidR="00CB1B51" w:rsidRPr="006D22A9">
              <w:rPr>
                <w:sz w:val="20"/>
                <w:szCs w:val="20"/>
              </w:rPr>
              <w:t xml:space="preserve"> (Vgl. Abschnitt 2 LL F</w:t>
            </w:r>
            <w:r w:rsidR="00CB1B51" w:rsidRPr="006D22A9">
              <w:rPr>
                <w:sz w:val="20"/>
                <w:szCs w:val="20"/>
              </w:rPr>
              <w:t>i</w:t>
            </w:r>
            <w:r w:rsidR="00CB1B51" w:rsidRPr="006D22A9">
              <w:rPr>
                <w:sz w:val="20"/>
                <w:szCs w:val="20"/>
              </w:rPr>
              <w:t>nanzkorrektur Verga</w:t>
            </w:r>
            <w:r w:rsidR="0070730B" w:rsidRPr="006D22A9">
              <w:rPr>
                <w:sz w:val="20"/>
                <w:szCs w:val="20"/>
              </w:rPr>
              <w:t xml:space="preserve">be, hier: Sachverhalte mit einem </w:t>
            </w:r>
            <w:r w:rsidR="0070730B" w:rsidRPr="00AA583E">
              <w:rPr>
                <w:b/>
                <w:sz w:val="20"/>
                <w:szCs w:val="20"/>
              </w:rPr>
              <w:t>Bericht</w:t>
            </w:r>
            <w:r w:rsidR="0070730B" w:rsidRPr="00AA583E">
              <w:rPr>
                <w:b/>
                <w:sz w:val="20"/>
                <w:szCs w:val="20"/>
              </w:rPr>
              <w:t>i</w:t>
            </w:r>
            <w:r w:rsidR="0070730B" w:rsidRPr="00AA583E">
              <w:rPr>
                <w:b/>
                <w:sz w:val="20"/>
                <w:szCs w:val="20"/>
              </w:rPr>
              <w:t>gungssatz</w:t>
            </w:r>
            <w:r w:rsidR="0070730B" w:rsidRPr="006D22A9">
              <w:rPr>
                <w:sz w:val="20"/>
                <w:szCs w:val="20"/>
              </w:rPr>
              <w:t xml:space="preserve"> von </w:t>
            </w:r>
            <w:r w:rsidR="0070730B" w:rsidRPr="00AA583E">
              <w:rPr>
                <w:b/>
                <w:sz w:val="20"/>
                <w:szCs w:val="20"/>
              </w:rPr>
              <w:t>5 %</w:t>
            </w:r>
            <w:r w:rsidR="0070730B" w:rsidRPr="006D22A9">
              <w:rPr>
                <w:sz w:val="20"/>
                <w:szCs w:val="20"/>
              </w:rPr>
              <w:t>; dieser wird nicht unterschritten)</w:t>
            </w:r>
          </w:p>
        </w:tc>
        <w:tc>
          <w:tcPr>
            <w:tcW w:w="850" w:type="dxa"/>
            <w:tcBorders>
              <w:bottom w:val="single" w:sz="4" w:space="0" w:color="auto"/>
            </w:tcBorders>
            <w:vAlign w:val="center"/>
          </w:tcPr>
          <w:p w:rsidR="009048C3" w:rsidRPr="009048C3" w:rsidRDefault="009048C3" w:rsidP="00F17C45">
            <w:pPr>
              <w:spacing w:before="60"/>
              <w:jc w:val="center"/>
              <w:rPr>
                <w:sz w:val="20"/>
                <w:szCs w:val="20"/>
              </w:rPr>
            </w:pPr>
            <w:r w:rsidRPr="009048C3">
              <w:rPr>
                <w:sz w:val="20"/>
                <w:szCs w:val="20"/>
              </w:rPr>
              <w:t>2</w:t>
            </w:r>
          </w:p>
        </w:tc>
        <w:tc>
          <w:tcPr>
            <w:tcW w:w="1560" w:type="dxa"/>
            <w:tcBorders>
              <w:bottom w:val="single" w:sz="4" w:space="0" w:color="auto"/>
            </w:tcBorders>
            <w:vAlign w:val="center"/>
          </w:tcPr>
          <w:p w:rsidR="009048C3" w:rsidRPr="009048C3" w:rsidRDefault="009048C3" w:rsidP="00F17C45">
            <w:pPr>
              <w:spacing w:before="60"/>
              <w:jc w:val="center"/>
              <w:rPr>
                <w:sz w:val="20"/>
                <w:szCs w:val="20"/>
              </w:rPr>
            </w:pPr>
            <w:r w:rsidRPr="009048C3">
              <w:rPr>
                <w:sz w:val="20"/>
                <w:szCs w:val="20"/>
              </w:rPr>
              <w:t>3 % - 5 %</w:t>
            </w:r>
          </w:p>
          <w:p w:rsidR="009048C3" w:rsidRDefault="009048C3" w:rsidP="002828A1">
            <w:pPr>
              <w:jc w:val="center"/>
              <w:rPr>
                <w:sz w:val="20"/>
                <w:szCs w:val="20"/>
              </w:rPr>
            </w:pPr>
          </w:p>
          <w:p w:rsidR="002672B3" w:rsidRPr="009048C3" w:rsidRDefault="002672B3" w:rsidP="002828A1">
            <w:pPr>
              <w:jc w:val="center"/>
              <w:rPr>
                <w:sz w:val="20"/>
                <w:szCs w:val="20"/>
              </w:rPr>
            </w:pPr>
          </w:p>
          <w:p w:rsidR="009048C3" w:rsidRPr="009048C3" w:rsidRDefault="009048C3" w:rsidP="002828A1">
            <w:pPr>
              <w:jc w:val="center"/>
              <w:rPr>
                <w:sz w:val="20"/>
                <w:szCs w:val="20"/>
              </w:rPr>
            </w:pPr>
            <w:r w:rsidRPr="009048C3">
              <w:rPr>
                <w:sz w:val="20"/>
                <w:szCs w:val="20"/>
              </w:rPr>
              <w:t>teilweise A</w:t>
            </w:r>
            <w:r w:rsidRPr="009048C3">
              <w:rPr>
                <w:sz w:val="20"/>
                <w:szCs w:val="20"/>
              </w:rPr>
              <w:t>b</w:t>
            </w:r>
            <w:r w:rsidRPr="009048C3">
              <w:rPr>
                <w:sz w:val="20"/>
                <w:szCs w:val="20"/>
              </w:rPr>
              <w:t xml:space="preserve">lehnung bzw. </w:t>
            </w:r>
          </w:p>
          <w:p w:rsidR="009048C3" w:rsidRPr="009048C3" w:rsidRDefault="00EA320E" w:rsidP="00EA320E">
            <w:pPr>
              <w:jc w:val="center"/>
              <w:rPr>
                <w:sz w:val="20"/>
                <w:szCs w:val="20"/>
              </w:rPr>
            </w:pPr>
            <w:r>
              <w:rPr>
                <w:sz w:val="20"/>
                <w:szCs w:val="20"/>
              </w:rPr>
              <w:t>teilweise Au</w:t>
            </w:r>
            <w:r>
              <w:rPr>
                <w:sz w:val="20"/>
                <w:szCs w:val="20"/>
              </w:rPr>
              <w:t>f</w:t>
            </w:r>
            <w:r>
              <w:rPr>
                <w:sz w:val="20"/>
                <w:szCs w:val="20"/>
              </w:rPr>
              <w:t>hebung</w:t>
            </w:r>
          </w:p>
        </w:tc>
      </w:tr>
      <w:tr w:rsidR="009048C3" w:rsidRPr="003F7B61" w:rsidTr="002672B3">
        <w:tc>
          <w:tcPr>
            <w:tcW w:w="7088" w:type="dxa"/>
            <w:tcBorders>
              <w:bottom w:val="single" w:sz="4" w:space="0" w:color="auto"/>
            </w:tcBorders>
          </w:tcPr>
          <w:p w:rsidR="009048C3" w:rsidRPr="009048C3" w:rsidRDefault="006D22A9" w:rsidP="006D22A9">
            <w:pPr>
              <w:spacing w:before="60" w:after="60"/>
              <w:rPr>
                <w:b/>
                <w:sz w:val="20"/>
                <w:szCs w:val="20"/>
              </w:rPr>
            </w:pPr>
            <w:r>
              <w:rPr>
                <w:b/>
                <w:sz w:val="20"/>
                <w:szCs w:val="20"/>
              </w:rPr>
              <w:t>M</w:t>
            </w:r>
            <w:r w:rsidR="009048C3" w:rsidRPr="009048C3">
              <w:rPr>
                <w:b/>
                <w:sz w:val="20"/>
                <w:szCs w:val="20"/>
              </w:rPr>
              <w:t>ittlere Verstöße</w:t>
            </w:r>
            <w:r>
              <w:rPr>
                <w:b/>
                <w:sz w:val="20"/>
                <w:szCs w:val="20"/>
              </w:rPr>
              <w:t>:</w:t>
            </w:r>
          </w:p>
          <w:p w:rsidR="009048C3" w:rsidRPr="00B07D10" w:rsidRDefault="00B07D10" w:rsidP="00B07D10">
            <w:pPr>
              <w:pStyle w:val="Listenabsatz"/>
              <w:numPr>
                <w:ilvl w:val="0"/>
                <w:numId w:val="20"/>
              </w:numPr>
              <w:rPr>
                <w:sz w:val="20"/>
                <w:szCs w:val="20"/>
              </w:rPr>
            </w:pPr>
            <w:r w:rsidRPr="00B07D10">
              <w:rPr>
                <w:sz w:val="20"/>
                <w:szCs w:val="20"/>
              </w:rPr>
              <w:t>Verstöße der</w:t>
            </w:r>
            <w:r w:rsidR="009048C3" w:rsidRPr="00B07D10">
              <w:rPr>
                <w:sz w:val="20"/>
                <w:szCs w:val="20"/>
              </w:rPr>
              <w:t xml:space="preserve"> Kategorie 1, aber die erforderlichen Unterlagen werden erst nach wiederholter Aufforderung </w:t>
            </w:r>
            <w:r w:rsidRPr="00B07D10">
              <w:rPr>
                <w:sz w:val="20"/>
                <w:szCs w:val="20"/>
              </w:rPr>
              <w:t xml:space="preserve">(mehr als 2) </w:t>
            </w:r>
            <w:r w:rsidR="009048C3" w:rsidRPr="00B07D10">
              <w:rPr>
                <w:sz w:val="20"/>
                <w:szCs w:val="20"/>
              </w:rPr>
              <w:t>nachgereicht.</w:t>
            </w:r>
          </w:p>
          <w:p w:rsidR="009048C3" w:rsidRPr="00B07D10" w:rsidRDefault="00B07D10" w:rsidP="00B07D10">
            <w:pPr>
              <w:pStyle w:val="Listenabsatz"/>
              <w:numPr>
                <w:ilvl w:val="0"/>
                <w:numId w:val="20"/>
              </w:numPr>
              <w:rPr>
                <w:sz w:val="20"/>
                <w:szCs w:val="20"/>
              </w:rPr>
            </w:pPr>
            <w:r>
              <w:rPr>
                <w:sz w:val="20"/>
                <w:szCs w:val="20"/>
              </w:rPr>
              <w:t>M</w:t>
            </w:r>
            <w:r w:rsidR="009048C3" w:rsidRPr="00B07D10">
              <w:rPr>
                <w:sz w:val="20"/>
                <w:szCs w:val="20"/>
              </w:rPr>
              <w:t>ittlere Beeinträchtigung der Durchführ</w:t>
            </w:r>
            <w:r w:rsidR="00EF0842" w:rsidRPr="00B07D10">
              <w:rPr>
                <w:sz w:val="20"/>
                <w:szCs w:val="20"/>
              </w:rPr>
              <w:t>ung</w:t>
            </w:r>
            <w:r w:rsidR="009048C3" w:rsidRPr="00B07D10">
              <w:rPr>
                <w:sz w:val="20"/>
                <w:szCs w:val="20"/>
              </w:rPr>
              <w:t xml:space="preserve"> des </w:t>
            </w:r>
            <w:r w:rsidR="00903DF8" w:rsidRPr="00B07D10">
              <w:rPr>
                <w:sz w:val="20"/>
                <w:szCs w:val="20"/>
              </w:rPr>
              <w:t xml:space="preserve">genehmigten </w:t>
            </w:r>
            <w:r w:rsidR="00EF0842" w:rsidRPr="00B07D10">
              <w:rPr>
                <w:sz w:val="20"/>
                <w:szCs w:val="20"/>
              </w:rPr>
              <w:t>Fö</w:t>
            </w:r>
            <w:r w:rsidR="00EF0842" w:rsidRPr="00B07D10">
              <w:rPr>
                <w:sz w:val="20"/>
                <w:szCs w:val="20"/>
              </w:rPr>
              <w:t>r</w:t>
            </w:r>
            <w:r w:rsidR="00EF0842" w:rsidRPr="00B07D10">
              <w:rPr>
                <w:sz w:val="20"/>
                <w:szCs w:val="20"/>
              </w:rPr>
              <w:t>derv</w:t>
            </w:r>
            <w:r w:rsidR="00903DF8" w:rsidRPr="00B07D10">
              <w:rPr>
                <w:sz w:val="20"/>
                <w:szCs w:val="20"/>
              </w:rPr>
              <w:t>orhabens</w:t>
            </w:r>
            <w:r w:rsidR="00EF0842" w:rsidRPr="00B07D10">
              <w:rPr>
                <w:sz w:val="20"/>
                <w:szCs w:val="20"/>
              </w:rPr>
              <w:t xml:space="preserve"> insgesamt und</w:t>
            </w:r>
            <w:r w:rsidR="00903DF8" w:rsidRPr="00B07D10">
              <w:rPr>
                <w:sz w:val="20"/>
                <w:szCs w:val="20"/>
              </w:rPr>
              <w:t xml:space="preserve"> des </w:t>
            </w:r>
            <w:r w:rsidR="00EF0842" w:rsidRPr="00B07D10">
              <w:rPr>
                <w:sz w:val="20"/>
                <w:szCs w:val="20"/>
              </w:rPr>
              <w:t xml:space="preserve">damit verbundenen </w:t>
            </w:r>
            <w:r w:rsidR="00903DF8" w:rsidRPr="00B07D10">
              <w:rPr>
                <w:sz w:val="20"/>
                <w:szCs w:val="20"/>
              </w:rPr>
              <w:t>Zuwendung</w:t>
            </w:r>
            <w:r w:rsidR="00903DF8" w:rsidRPr="00B07D10">
              <w:rPr>
                <w:sz w:val="20"/>
                <w:szCs w:val="20"/>
              </w:rPr>
              <w:t>s</w:t>
            </w:r>
            <w:r w:rsidR="00903DF8" w:rsidRPr="00B07D10">
              <w:rPr>
                <w:sz w:val="20"/>
                <w:szCs w:val="20"/>
              </w:rPr>
              <w:t>zweckes</w:t>
            </w:r>
            <w:r w:rsidR="00EF0842" w:rsidRPr="00B07D10">
              <w:rPr>
                <w:sz w:val="20"/>
                <w:szCs w:val="20"/>
              </w:rPr>
              <w:t xml:space="preserve"> bzw. </w:t>
            </w:r>
            <w:r w:rsidR="004043F4" w:rsidRPr="00B07D10">
              <w:rPr>
                <w:sz w:val="20"/>
                <w:szCs w:val="20"/>
              </w:rPr>
              <w:t>–</w:t>
            </w:r>
            <w:r w:rsidR="00903DF8" w:rsidRPr="00B07D10">
              <w:rPr>
                <w:sz w:val="20"/>
                <w:szCs w:val="20"/>
              </w:rPr>
              <w:t>ziel</w:t>
            </w:r>
            <w:r>
              <w:rPr>
                <w:sz w:val="20"/>
                <w:szCs w:val="20"/>
              </w:rPr>
              <w:t>e</w:t>
            </w:r>
            <w:r w:rsidR="00903DF8" w:rsidRPr="00B07D10">
              <w:rPr>
                <w:sz w:val="20"/>
                <w:szCs w:val="20"/>
              </w:rPr>
              <w:t>s</w:t>
            </w:r>
          </w:p>
          <w:p w:rsidR="009048C3" w:rsidRPr="00B07D10" w:rsidRDefault="00B07D10" w:rsidP="00B07D10">
            <w:pPr>
              <w:pStyle w:val="Listenabsatz"/>
              <w:numPr>
                <w:ilvl w:val="0"/>
                <w:numId w:val="20"/>
              </w:numPr>
              <w:rPr>
                <w:sz w:val="20"/>
                <w:szCs w:val="20"/>
              </w:rPr>
            </w:pPr>
            <w:r>
              <w:rPr>
                <w:sz w:val="20"/>
                <w:szCs w:val="20"/>
              </w:rPr>
              <w:t>M</w:t>
            </w:r>
            <w:r w:rsidR="005D58CE" w:rsidRPr="00B07D10">
              <w:rPr>
                <w:sz w:val="20"/>
                <w:szCs w:val="20"/>
              </w:rPr>
              <w:t>ehr als drei</w:t>
            </w:r>
            <w:r w:rsidR="009048C3" w:rsidRPr="00B07D10">
              <w:rPr>
                <w:sz w:val="20"/>
                <w:szCs w:val="20"/>
              </w:rPr>
              <w:t xml:space="preserve"> Verst</w:t>
            </w:r>
            <w:r w:rsidR="005D58CE" w:rsidRPr="00B07D10">
              <w:rPr>
                <w:sz w:val="20"/>
                <w:szCs w:val="20"/>
              </w:rPr>
              <w:t>ö</w:t>
            </w:r>
            <w:r w:rsidR="009048C3" w:rsidRPr="00B07D10">
              <w:rPr>
                <w:sz w:val="20"/>
                <w:szCs w:val="20"/>
              </w:rPr>
              <w:t>ß</w:t>
            </w:r>
            <w:r w:rsidR="005D58CE" w:rsidRPr="00B07D10">
              <w:rPr>
                <w:sz w:val="20"/>
                <w:szCs w:val="20"/>
              </w:rPr>
              <w:t>e</w:t>
            </w:r>
            <w:r w:rsidR="009048C3" w:rsidRPr="00B07D10">
              <w:rPr>
                <w:sz w:val="20"/>
                <w:szCs w:val="20"/>
              </w:rPr>
              <w:t xml:space="preserve"> der Kategorie 2</w:t>
            </w:r>
          </w:p>
          <w:p w:rsidR="009048C3" w:rsidRPr="00B07D10" w:rsidRDefault="00B07D10" w:rsidP="00B07D10">
            <w:pPr>
              <w:pStyle w:val="Listenabsatz"/>
              <w:numPr>
                <w:ilvl w:val="0"/>
                <w:numId w:val="20"/>
              </w:numPr>
              <w:rPr>
                <w:sz w:val="20"/>
                <w:szCs w:val="20"/>
              </w:rPr>
            </w:pPr>
            <w:r>
              <w:rPr>
                <w:sz w:val="20"/>
                <w:szCs w:val="20"/>
              </w:rPr>
              <w:t>M</w:t>
            </w:r>
            <w:r w:rsidR="009048C3" w:rsidRPr="00B07D10">
              <w:rPr>
                <w:sz w:val="20"/>
                <w:szCs w:val="20"/>
              </w:rPr>
              <w:t>ittlere Verstöße gegen das Vergaberecht</w:t>
            </w:r>
            <w:r w:rsidR="00903DF8" w:rsidRPr="00B07D10">
              <w:rPr>
                <w:sz w:val="20"/>
                <w:szCs w:val="20"/>
              </w:rPr>
              <w:t xml:space="preserve"> (Vgl. Abschnitt 2 LL F</w:t>
            </w:r>
            <w:r w:rsidR="00903DF8" w:rsidRPr="00B07D10">
              <w:rPr>
                <w:sz w:val="20"/>
                <w:szCs w:val="20"/>
              </w:rPr>
              <w:t>i</w:t>
            </w:r>
            <w:r w:rsidR="00903DF8" w:rsidRPr="00B07D10">
              <w:rPr>
                <w:sz w:val="20"/>
                <w:szCs w:val="20"/>
              </w:rPr>
              <w:t>nanzkorrektur Vergabe, hier: Sachverhalte mit einem Berichtigung</w:t>
            </w:r>
            <w:r w:rsidR="00903DF8" w:rsidRPr="00B07D10">
              <w:rPr>
                <w:sz w:val="20"/>
                <w:szCs w:val="20"/>
              </w:rPr>
              <w:t>s</w:t>
            </w:r>
            <w:r w:rsidR="00903DF8" w:rsidRPr="00B07D10">
              <w:rPr>
                <w:sz w:val="20"/>
                <w:szCs w:val="20"/>
              </w:rPr>
              <w:t>satz von 10 %)</w:t>
            </w:r>
          </w:p>
          <w:p w:rsidR="00EF0842" w:rsidRPr="00B07D10" w:rsidRDefault="00B07D10" w:rsidP="00B07D10">
            <w:pPr>
              <w:pStyle w:val="Listenabsatz"/>
              <w:numPr>
                <w:ilvl w:val="0"/>
                <w:numId w:val="20"/>
              </w:numPr>
              <w:spacing w:after="60"/>
              <w:rPr>
                <w:sz w:val="20"/>
                <w:szCs w:val="20"/>
              </w:rPr>
            </w:pPr>
            <w:r>
              <w:rPr>
                <w:sz w:val="20"/>
                <w:szCs w:val="20"/>
              </w:rPr>
              <w:t>B</w:t>
            </w:r>
            <w:r w:rsidR="004043F4" w:rsidRPr="00B07D10">
              <w:rPr>
                <w:sz w:val="20"/>
                <w:szCs w:val="20"/>
              </w:rPr>
              <w:t>ei p</w:t>
            </w:r>
            <w:r w:rsidR="00EF0842" w:rsidRPr="00B07D10">
              <w:rPr>
                <w:sz w:val="20"/>
                <w:szCs w:val="20"/>
              </w:rPr>
              <w:t>rivate</w:t>
            </w:r>
            <w:r w:rsidR="004043F4" w:rsidRPr="00B07D10">
              <w:rPr>
                <w:sz w:val="20"/>
                <w:szCs w:val="20"/>
              </w:rPr>
              <w:t>n</w:t>
            </w:r>
            <w:r w:rsidR="00EF0842" w:rsidRPr="00B07D10">
              <w:rPr>
                <w:sz w:val="20"/>
                <w:szCs w:val="20"/>
              </w:rPr>
              <w:t xml:space="preserve"> Begünstigte</w:t>
            </w:r>
            <w:r w:rsidR="004043F4" w:rsidRPr="00B07D10">
              <w:rPr>
                <w:sz w:val="20"/>
                <w:szCs w:val="20"/>
              </w:rPr>
              <w:t>n mit Auflage „Einholung</w:t>
            </w:r>
            <w:r>
              <w:rPr>
                <w:sz w:val="20"/>
                <w:szCs w:val="20"/>
              </w:rPr>
              <w:t>/Anforderung</w:t>
            </w:r>
            <w:r w:rsidR="004043F4" w:rsidRPr="00B07D10">
              <w:rPr>
                <w:sz w:val="20"/>
                <w:szCs w:val="20"/>
              </w:rPr>
              <w:t xml:space="preserve"> von mind. 3 Vergleichsangeboten“: Wenn </w:t>
            </w:r>
            <w:r w:rsidR="00EF0842" w:rsidRPr="00B07D10">
              <w:rPr>
                <w:sz w:val="20"/>
                <w:szCs w:val="20"/>
              </w:rPr>
              <w:t xml:space="preserve">nur 2 </w:t>
            </w:r>
            <w:r w:rsidR="004043F4" w:rsidRPr="00B07D10">
              <w:rPr>
                <w:sz w:val="20"/>
                <w:szCs w:val="20"/>
              </w:rPr>
              <w:t>Angebote eing</w:t>
            </w:r>
            <w:r w:rsidR="004043F4" w:rsidRPr="00B07D10">
              <w:rPr>
                <w:sz w:val="20"/>
                <w:szCs w:val="20"/>
              </w:rPr>
              <w:t>e</w:t>
            </w:r>
            <w:r w:rsidR="004043F4" w:rsidRPr="00B07D10">
              <w:rPr>
                <w:sz w:val="20"/>
                <w:szCs w:val="20"/>
              </w:rPr>
              <w:t>holt</w:t>
            </w:r>
            <w:r>
              <w:rPr>
                <w:sz w:val="20"/>
                <w:szCs w:val="20"/>
              </w:rPr>
              <w:t>/angefordert</w:t>
            </w:r>
            <w:r w:rsidR="004043F4" w:rsidRPr="00B07D10">
              <w:rPr>
                <w:sz w:val="20"/>
                <w:szCs w:val="20"/>
              </w:rPr>
              <w:t xml:space="preserve"> wurden</w:t>
            </w:r>
            <w:r>
              <w:rPr>
                <w:sz w:val="20"/>
                <w:szCs w:val="20"/>
              </w:rPr>
              <w:t xml:space="preserve"> und keine plausible Begründung vorliegt</w:t>
            </w:r>
            <w:r w:rsidR="004043F4" w:rsidRPr="00B07D10">
              <w:rPr>
                <w:sz w:val="20"/>
                <w:szCs w:val="20"/>
              </w:rPr>
              <w:t>, stellt dies als u</w:t>
            </w:r>
            <w:r w:rsidR="00EF0842" w:rsidRPr="00B07D10">
              <w:rPr>
                <w:sz w:val="20"/>
                <w:szCs w:val="20"/>
              </w:rPr>
              <w:t>nzureichende Markterkundung</w:t>
            </w:r>
            <w:r w:rsidR="004043F4" w:rsidRPr="00B07D10">
              <w:rPr>
                <w:sz w:val="20"/>
                <w:szCs w:val="20"/>
              </w:rPr>
              <w:t xml:space="preserve"> einen mittleren Verstoß dar.</w:t>
            </w:r>
            <w:r w:rsidR="00502BEF">
              <w:rPr>
                <w:sz w:val="20"/>
                <w:szCs w:val="20"/>
              </w:rPr>
              <w:t xml:space="preserve"> Der </w:t>
            </w:r>
            <w:r w:rsidR="00502BEF" w:rsidRPr="00502BEF">
              <w:rPr>
                <w:b/>
                <w:sz w:val="20"/>
                <w:szCs w:val="20"/>
              </w:rPr>
              <w:t>Berichtigungssatz</w:t>
            </w:r>
            <w:r w:rsidR="00502BEF">
              <w:rPr>
                <w:sz w:val="20"/>
                <w:szCs w:val="20"/>
              </w:rPr>
              <w:t xml:space="preserve"> ist regelmäßig mit </w:t>
            </w:r>
            <w:r w:rsidR="00502BEF" w:rsidRPr="00502BEF">
              <w:rPr>
                <w:b/>
                <w:sz w:val="20"/>
                <w:szCs w:val="20"/>
              </w:rPr>
              <w:t>10 %</w:t>
            </w:r>
            <w:r w:rsidR="00502BEF">
              <w:rPr>
                <w:sz w:val="20"/>
                <w:szCs w:val="20"/>
              </w:rPr>
              <w:t xml:space="preserve"> festzulegen.</w:t>
            </w:r>
          </w:p>
        </w:tc>
        <w:tc>
          <w:tcPr>
            <w:tcW w:w="850" w:type="dxa"/>
            <w:tcBorders>
              <w:bottom w:val="single" w:sz="4" w:space="0" w:color="auto"/>
            </w:tcBorders>
            <w:vAlign w:val="center"/>
          </w:tcPr>
          <w:p w:rsidR="009048C3" w:rsidRPr="009048C3" w:rsidRDefault="009048C3" w:rsidP="00F17C45">
            <w:pPr>
              <w:spacing w:before="60"/>
              <w:jc w:val="center"/>
              <w:rPr>
                <w:sz w:val="20"/>
                <w:szCs w:val="20"/>
              </w:rPr>
            </w:pPr>
            <w:r w:rsidRPr="009048C3">
              <w:rPr>
                <w:sz w:val="20"/>
                <w:szCs w:val="20"/>
              </w:rPr>
              <w:t>3</w:t>
            </w:r>
          </w:p>
        </w:tc>
        <w:tc>
          <w:tcPr>
            <w:tcW w:w="1560" w:type="dxa"/>
            <w:tcBorders>
              <w:bottom w:val="single" w:sz="4" w:space="0" w:color="auto"/>
            </w:tcBorders>
            <w:vAlign w:val="center"/>
          </w:tcPr>
          <w:p w:rsidR="009048C3" w:rsidRPr="009048C3" w:rsidRDefault="009048C3" w:rsidP="00F17C45">
            <w:pPr>
              <w:spacing w:before="60"/>
              <w:jc w:val="center"/>
              <w:rPr>
                <w:sz w:val="20"/>
                <w:szCs w:val="20"/>
              </w:rPr>
            </w:pPr>
            <w:r w:rsidRPr="009048C3">
              <w:rPr>
                <w:sz w:val="20"/>
                <w:szCs w:val="20"/>
              </w:rPr>
              <w:t>5 % - 10 %</w:t>
            </w:r>
          </w:p>
          <w:p w:rsidR="009048C3" w:rsidRDefault="009048C3" w:rsidP="002828A1">
            <w:pPr>
              <w:jc w:val="center"/>
              <w:rPr>
                <w:sz w:val="20"/>
                <w:szCs w:val="20"/>
              </w:rPr>
            </w:pPr>
          </w:p>
          <w:p w:rsidR="002672B3" w:rsidRPr="009048C3" w:rsidRDefault="002672B3" w:rsidP="002828A1">
            <w:pPr>
              <w:jc w:val="center"/>
              <w:rPr>
                <w:sz w:val="20"/>
                <w:szCs w:val="20"/>
              </w:rPr>
            </w:pPr>
          </w:p>
          <w:p w:rsidR="009048C3" w:rsidRPr="009048C3" w:rsidRDefault="009048C3" w:rsidP="002828A1">
            <w:pPr>
              <w:jc w:val="center"/>
              <w:rPr>
                <w:sz w:val="20"/>
                <w:szCs w:val="20"/>
              </w:rPr>
            </w:pPr>
            <w:r w:rsidRPr="009048C3">
              <w:rPr>
                <w:sz w:val="20"/>
                <w:szCs w:val="20"/>
              </w:rPr>
              <w:t>teilweise A</w:t>
            </w:r>
            <w:r w:rsidRPr="009048C3">
              <w:rPr>
                <w:sz w:val="20"/>
                <w:szCs w:val="20"/>
              </w:rPr>
              <w:t>b</w:t>
            </w:r>
            <w:r w:rsidRPr="009048C3">
              <w:rPr>
                <w:sz w:val="20"/>
                <w:szCs w:val="20"/>
              </w:rPr>
              <w:t xml:space="preserve">lehnung bzw. </w:t>
            </w:r>
          </w:p>
          <w:p w:rsidR="009048C3" w:rsidRPr="009048C3" w:rsidRDefault="009048C3" w:rsidP="00EA320E">
            <w:pPr>
              <w:jc w:val="center"/>
              <w:rPr>
                <w:sz w:val="20"/>
                <w:szCs w:val="20"/>
              </w:rPr>
            </w:pPr>
            <w:r w:rsidRPr="009048C3">
              <w:rPr>
                <w:sz w:val="20"/>
                <w:szCs w:val="20"/>
              </w:rPr>
              <w:t>teilwei</w:t>
            </w:r>
            <w:r w:rsidR="00EA320E">
              <w:rPr>
                <w:sz w:val="20"/>
                <w:szCs w:val="20"/>
              </w:rPr>
              <w:t>s</w:t>
            </w:r>
            <w:r w:rsidRPr="009048C3">
              <w:rPr>
                <w:sz w:val="20"/>
                <w:szCs w:val="20"/>
              </w:rPr>
              <w:t xml:space="preserve">e </w:t>
            </w:r>
            <w:r w:rsidR="00EA320E">
              <w:rPr>
                <w:sz w:val="20"/>
                <w:szCs w:val="20"/>
              </w:rPr>
              <w:t>Au</w:t>
            </w:r>
            <w:r w:rsidR="00EA320E">
              <w:rPr>
                <w:sz w:val="20"/>
                <w:szCs w:val="20"/>
              </w:rPr>
              <w:t>f</w:t>
            </w:r>
            <w:r w:rsidR="00EA320E">
              <w:rPr>
                <w:sz w:val="20"/>
                <w:szCs w:val="20"/>
              </w:rPr>
              <w:t>hebung</w:t>
            </w:r>
          </w:p>
        </w:tc>
      </w:tr>
      <w:tr w:rsidR="009048C3" w:rsidRPr="003F7B61" w:rsidTr="002672B3">
        <w:tc>
          <w:tcPr>
            <w:tcW w:w="7088" w:type="dxa"/>
            <w:tcBorders>
              <w:bottom w:val="single" w:sz="4" w:space="0" w:color="auto"/>
            </w:tcBorders>
          </w:tcPr>
          <w:p w:rsidR="009048C3" w:rsidRPr="009048C3" w:rsidRDefault="00B07D10" w:rsidP="006D22A9">
            <w:pPr>
              <w:spacing w:before="60" w:after="60"/>
              <w:rPr>
                <w:b/>
                <w:sz w:val="20"/>
                <w:szCs w:val="20"/>
              </w:rPr>
            </w:pPr>
            <w:r>
              <w:rPr>
                <w:b/>
                <w:sz w:val="20"/>
                <w:szCs w:val="20"/>
              </w:rPr>
              <w:t>S</w:t>
            </w:r>
            <w:r w:rsidR="009048C3" w:rsidRPr="009048C3">
              <w:rPr>
                <w:b/>
                <w:sz w:val="20"/>
                <w:szCs w:val="20"/>
              </w:rPr>
              <w:t>chwere Verstöße</w:t>
            </w:r>
            <w:r>
              <w:rPr>
                <w:b/>
                <w:sz w:val="20"/>
                <w:szCs w:val="20"/>
              </w:rPr>
              <w:t>:</w:t>
            </w:r>
          </w:p>
          <w:p w:rsidR="009048C3" w:rsidRPr="00B07D10" w:rsidRDefault="00B07D10" w:rsidP="00B07D10">
            <w:pPr>
              <w:pStyle w:val="Listenabsatz"/>
              <w:numPr>
                <w:ilvl w:val="0"/>
                <w:numId w:val="21"/>
              </w:numPr>
              <w:rPr>
                <w:sz w:val="20"/>
                <w:szCs w:val="20"/>
              </w:rPr>
            </w:pPr>
            <w:r w:rsidRPr="00B07D10">
              <w:rPr>
                <w:sz w:val="20"/>
                <w:szCs w:val="20"/>
              </w:rPr>
              <w:t>S</w:t>
            </w:r>
            <w:r w:rsidR="009048C3" w:rsidRPr="00B07D10">
              <w:rPr>
                <w:sz w:val="20"/>
                <w:szCs w:val="20"/>
              </w:rPr>
              <w:t>chwere Beeinträchtigung der Durchführ</w:t>
            </w:r>
            <w:r w:rsidR="00EF0842" w:rsidRPr="00B07D10">
              <w:rPr>
                <w:sz w:val="20"/>
                <w:szCs w:val="20"/>
              </w:rPr>
              <w:t xml:space="preserve">ung </w:t>
            </w:r>
            <w:r w:rsidR="009048C3" w:rsidRPr="00B07D10">
              <w:rPr>
                <w:sz w:val="20"/>
                <w:szCs w:val="20"/>
              </w:rPr>
              <w:t xml:space="preserve">des </w:t>
            </w:r>
            <w:r w:rsidR="00903DF8" w:rsidRPr="00B07D10">
              <w:rPr>
                <w:sz w:val="20"/>
                <w:szCs w:val="20"/>
              </w:rPr>
              <w:t xml:space="preserve">genehmigten </w:t>
            </w:r>
            <w:r w:rsidR="00EF0842" w:rsidRPr="00B07D10">
              <w:rPr>
                <w:sz w:val="20"/>
                <w:szCs w:val="20"/>
              </w:rPr>
              <w:t>Fö</w:t>
            </w:r>
            <w:r w:rsidR="00EF0842" w:rsidRPr="00B07D10">
              <w:rPr>
                <w:sz w:val="20"/>
                <w:szCs w:val="20"/>
              </w:rPr>
              <w:t>r</w:t>
            </w:r>
            <w:r w:rsidR="00EF0842" w:rsidRPr="00B07D10">
              <w:rPr>
                <w:sz w:val="20"/>
                <w:szCs w:val="20"/>
              </w:rPr>
              <w:t>derv</w:t>
            </w:r>
            <w:r w:rsidR="00903DF8" w:rsidRPr="00B07D10">
              <w:rPr>
                <w:sz w:val="20"/>
                <w:szCs w:val="20"/>
              </w:rPr>
              <w:t xml:space="preserve">orhabens </w:t>
            </w:r>
            <w:r w:rsidR="00EF0842" w:rsidRPr="00B07D10">
              <w:rPr>
                <w:sz w:val="20"/>
                <w:szCs w:val="20"/>
              </w:rPr>
              <w:t xml:space="preserve">insgesamt und des damit verbundenen </w:t>
            </w:r>
            <w:r w:rsidR="00903DF8" w:rsidRPr="00B07D10">
              <w:rPr>
                <w:sz w:val="20"/>
                <w:szCs w:val="20"/>
              </w:rPr>
              <w:t>Zuwendung</w:t>
            </w:r>
            <w:r w:rsidR="00903DF8" w:rsidRPr="00B07D10">
              <w:rPr>
                <w:sz w:val="20"/>
                <w:szCs w:val="20"/>
              </w:rPr>
              <w:t>s</w:t>
            </w:r>
            <w:r w:rsidR="00903DF8" w:rsidRPr="00B07D10">
              <w:rPr>
                <w:sz w:val="20"/>
                <w:szCs w:val="20"/>
              </w:rPr>
              <w:t>zweckes</w:t>
            </w:r>
            <w:r w:rsidR="00EF0842" w:rsidRPr="00B07D10">
              <w:rPr>
                <w:sz w:val="20"/>
                <w:szCs w:val="20"/>
              </w:rPr>
              <w:t xml:space="preserve"> bzw. </w:t>
            </w:r>
            <w:r>
              <w:rPr>
                <w:sz w:val="20"/>
                <w:szCs w:val="20"/>
              </w:rPr>
              <w:t>-ziele</w:t>
            </w:r>
            <w:r w:rsidR="00903DF8" w:rsidRPr="00B07D10">
              <w:rPr>
                <w:sz w:val="20"/>
                <w:szCs w:val="20"/>
              </w:rPr>
              <w:t>s</w:t>
            </w:r>
          </w:p>
          <w:p w:rsidR="009048C3" w:rsidRPr="00B07D10" w:rsidRDefault="00B07D10" w:rsidP="00B07D10">
            <w:pPr>
              <w:pStyle w:val="Listenabsatz"/>
              <w:numPr>
                <w:ilvl w:val="0"/>
                <w:numId w:val="21"/>
              </w:numPr>
              <w:rPr>
                <w:sz w:val="20"/>
                <w:szCs w:val="20"/>
              </w:rPr>
            </w:pPr>
            <w:r>
              <w:rPr>
                <w:sz w:val="20"/>
                <w:szCs w:val="20"/>
              </w:rPr>
              <w:t>M</w:t>
            </w:r>
            <w:r w:rsidR="005D58CE" w:rsidRPr="00B07D10">
              <w:rPr>
                <w:sz w:val="20"/>
                <w:szCs w:val="20"/>
              </w:rPr>
              <w:t>ehr als dr</w:t>
            </w:r>
            <w:r w:rsidR="009048C3" w:rsidRPr="00B07D10">
              <w:rPr>
                <w:sz w:val="20"/>
                <w:szCs w:val="20"/>
              </w:rPr>
              <w:t>ei Verst</w:t>
            </w:r>
            <w:r w:rsidR="005D58CE" w:rsidRPr="00B07D10">
              <w:rPr>
                <w:sz w:val="20"/>
                <w:szCs w:val="20"/>
              </w:rPr>
              <w:t>ö</w:t>
            </w:r>
            <w:r w:rsidR="009048C3" w:rsidRPr="00B07D10">
              <w:rPr>
                <w:sz w:val="20"/>
                <w:szCs w:val="20"/>
              </w:rPr>
              <w:t>ß</w:t>
            </w:r>
            <w:r w:rsidR="005D58CE" w:rsidRPr="00B07D10">
              <w:rPr>
                <w:sz w:val="20"/>
                <w:szCs w:val="20"/>
              </w:rPr>
              <w:t>e</w:t>
            </w:r>
            <w:r w:rsidR="009048C3" w:rsidRPr="00B07D10">
              <w:rPr>
                <w:sz w:val="20"/>
                <w:szCs w:val="20"/>
              </w:rPr>
              <w:t xml:space="preserve"> der Kategorie 3</w:t>
            </w:r>
          </w:p>
          <w:p w:rsidR="009048C3" w:rsidRPr="00B07D10" w:rsidRDefault="00B07D10" w:rsidP="00B07D10">
            <w:pPr>
              <w:pStyle w:val="Listenabsatz"/>
              <w:numPr>
                <w:ilvl w:val="0"/>
                <w:numId w:val="21"/>
              </w:numPr>
              <w:rPr>
                <w:sz w:val="20"/>
                <w:szCs w:val="20"/>
              </w:rPr>
            </w:pPr>
            <w:r w:rsidRPr="00B07D10">
              <w:rPr>
                <w:sz w:val="20"/>
                <w:szCs w:val="20"/>
              </w:rPr>
              <w:t>S</w:t>
            </w:r>
            <w:r w:rsidR="009048C3" w:rsidRPr="00B07D10">
              <w:rPr>
                <w:sz w:val="20"/>
                <w:szCs w:val="20"/>
              </w:rPr>
              <w:t>chwere Verstöße gegen das Vergaberecht</w:t>
            </w:r>
            <w:r w:rsidR="00903DF8" w:rsidRPr="00B07D10">
              <w:rPr>
                <w:sz w:val="20"/>
                <w:szCs w:val="20"/>
              </w:rPr>
              <w:t xml:space="preserve"> (Vgl. Abschnitt 2 </w:t>
            </w:r>
            <w:r w:rsidR="008A45C1" w:rsidRPr="00B07D10">
              <w:rPr>
                <w:sz w:val="20"/>
                <w:szCs w:val="20"/>
              </w:rPr>
              <w:t xml:space="preserve">KOM-Leitlinie für </w:t>
            </w:r>
            <w:r w:rsidR="00903DF8" w:rsidRPr="00B07D10">
              <w:rPr>
                <w:sz w:val="20"/>
                <w:szCs w:val="20"/>
              </w:rPr>
              <w:t>Finanzkorrektur</w:t>
            </w:r>
            <w:r w:rsidR="008A45C1" w:rsidRPr="00B07D10">
              <w:rPr>
                <w:sz w:val="20"/>
                <w:szCs w:val="20"/>
              </w:rPr>
              <w:t>en bei</w:t>
            </w:r>
            <w:r w:rsidR="00903DF8" w:rsidRPr="00B07D10">
              <w:rPr>
                <w:sz w:val="20"/>
                <w:szCs w:val="20"/>
              </w:rPr>
              <w:t xml:space="preserve"> Vergabe</w:t>
            </w:r>
            <w:r w:rsidR="008A45C1" w:rsidRPr="00B07D10">
              <w:rPr>
                <w:sz w:val="20"/>
                <w:szCs w:val="20"/>
              </w:rPr>
              <w:t>verstößen</w:t>
            </w:r>
            <w:r w:rsidR="00903DF8" w:rsidRPr="00B07D10">
              <w:rPr>
                <w:sz w:val="20"/>
                <w:szCs w:val="20"/>
              </w:rPr>
              <w:t>, hier: Sachve</w:t>
            </w:r>
            <w:r w:rsidR="00903DF8" w:rsidRPr="00B07D10">
              <w:rPr>
                <w:sz w:val="20"/>
                <w:szCs w:val="20"/>
              </w:rPr>
              <w:t>r</w:t>
            </w:r>
            <w:r w:rsidR="00903DF8" w:rsidRPr="00B07D10">
              <w:rPr>
                <w:sz w:val="20"/>
                <w:szCs w:val="20"/>
              </w:rPr>
              <w:t xml:space="preserve">halte mit einem </w:t>
            </w:r>
            <w:r w:rsidR="00903DF8" w:rsidRPr="00502BEF">
              <w:rPr>
                <w:b/>
                <w:sz w:val="20"/>
                <w:szCs w:val="20"/>
              </w:rPr>
              <w:t>Berichtigungssatz von 25 %</w:t>
            </w:r>
            <w:r w:rsidR="00903DF8" w:rsidRPr="00B07D10">
              <w:rPr>
                <w:sz w:val="20"/>
                <w:szCs w:val="20"/>
              </w:rPr>
              <w:t>; dieser wird nicht u</w:t>
            </w:r>
            <w:r w:rsidR="00903DF8" w:rsidRPr="00B07D10">
              <w:rPr>
                <w:sz w:val="20"/>
                <w:szCs w:val="20"/>
              </w:rPr>
              <w:t>n</w:t>
            </w:r>
            <w:r w:rsidR="00903DF8" w:rsidRPr="00B07D10">
              <w:rPr>
                <w:sz w:val="20"/>
                <w:szCs w:val="20"/>
              </w:rPr>
              <w:t>terschritten)</w:t>
            </w:r>
          </w:p>
          <w:p w:rsidR="00EA06AC" w:rsidRPr="009048C3" w:rsidRDefault="00502BEF" w:rsidP="00502BEF">
            <w:pPr>
              <w:pStyle w:val="Listenabsatz"/>
              <w:numPr>
                <w:ilvl w:val="0"/>
                <w:numId w:val="21"/>
              </w:numPr>
              <w:spacing w:after="60"/>
              <w:rPr>
                <w:sz w:val="20"/>
                <w:szCs w:val="20"/>
              </w:rPr>
            </w:pPr>
            <w:r w:rsidRPr="00502BEF">
              <w:rPr>
                <w:sz w:val="20"/>
                <w:szCs w:val="20"/>
              </w:rPr>
              <w:t>B</w:t>
            </w:r>
            <w:r w:rsidR="004043F4" w:rsidRPr="00502BEF">
              <w:rPr>
                <w:sz w:val="20"/>
                <w:szCs w:val="20"/>
              </w:rPr>
              <w:t>ei privaten Begünstigten mit Auflage „Einholung</w:t>
            </w:r>
            <w:r>
              <w:rPr>
                <w:sz w:val="20"/>
                <w:szCs w:val="20"/>
              </w:rPr>
              <w:t>/Anforderung</w:t>
            </w:r>
            <w:r w:rsidR="004043F4" w:rsidRPr="00502BEF">
              <w:rPr>
                <w:sz w:val="20"/>
                <w:szCs w:val="20"/>
              </w:rPr>
              <w:t xml:space="preserve"> von mind. 3 Vergleichsangeboten“: Wenn keine Vergleichsangebote ei</w:t>
            </w:r>
            <w:r w:rsidR="004043F4" w:rsidRPr="00502BEF">
              <w:rPr>
                <w:sz w:val="20"/>
                <w:szCs w:val="20"/>
              </w:rPr>
              <w:t>n</w:t>
            </w:r>
            <w:r w:rsidR="004043F4" w:rsidRPr="00502BEF">
              <w:rPr>
                <w:sz w:val="20"/>
                <w:szCs w:val="20"/>
              </w:rPr>
              <w:t>geholt</w:t>
            </w:r>
            <w:r>
              <w:rPr>
                <w:sz w:val="20"/>
                <w:szCs w:val="20"/>
              </w:rPr>
              <w:t>/angefordert</w:t>
            </w:r>
            <w:r w:rsidR="004043F4" w:rsidRPr="00502BEF">
              <w:rPr>
                <w:sz w:val="20"/>
                <w:szCs w:val="20"/>
              </w:rPr>
              <w:t xml:space="preserve"> wurden</w:t>
            </w:r>
            <w:r>
              <w:rPr>
                <w:sz w:val="20"/>
                <w:szCs w:val="20"/>
              </w:rPr>
              <w:t xml:space="preserve"> und keine plausible Begründung vorliegt</w:t>
            </w:r>
            <w:r w:rsidR="004043F4" w:rsidRPr="00502BEF">
              <w:rPr>
                <w:sz w:val="20"/>
                <w:szCs w:val="20"/>
              </w:rPr>
              <w:t xml:space="preserve">, stellt dies als Fehlen einer Markterkundung einen schweren Verstoß </w:t>
            </w:r>
            <w:r w:rsidR="004043F4" w:rsidRPr="00502BEF">
              <w:rPr>
                <w:sz w:val="20"/>
                <w:szCs w:val="20"/>
              </w:rPr>
              <w:lastRenderedPageBreak/>
              <w:t>dar.</w:t>
            </w:r>
            <w:r>
              <w:rPr>
                <w:sz w:val="20"/>
                <w:szCs w:val="20"/>
              </w:rPr>
              <w:t xml:space="preserve"> Der </w:t>
            </w:r>
            <w:r w:rsidRPr="00502BEF">
              <w:rPr>
                <w:b/>
                <w:sz w:val="20"/>
                <w:szCs w:val="20"/>
              </w:rPr>
              <w:t>Berichtigungssatz</w:t>
            </w:r>
            <w:r>
              <w:rPr>
                <w:sz w:val="20"/>
                <w:szCs w:val="20"/>
              </w:rPr>
              <w:t xml:space="preserve"> ist regelmäßig mit </w:t>
            </w:r>
            <w:r w:rsidRPr="00502BEF">
              <w:rPr>
                <w:b/>
                <w:sz w:val="20"/>
                <w:szCs w:val="20"/>
              </w:rPr>
              <w:t>25 %</w:t>
            </w:r>
            <w:r>
              <w:rPr>
                <w:sz w:val="20"/>
                <w:szCs w:val="20"/>
              </w:rPr>
              <w:t xml:space="preserve"> festzulegen. </w:t>
            </w:r>
          </w:p>
        </w:tc>
        <w:tc>
          <w:tcPr>
            <w:tcW w:w="850" w:type="dxa"/>
            <w:tcBorders>
              <w:bottom w:val="single" w:sz="4" w:space="0" w:color="auto"/>
            </w:tcBorders>
            <w:vAlign w:val="center"/>
          </w:tcPr>
          <w:p w:rsidR="009048C3" w:rsidRPr="009048C3" w:rsidRDefault="009048C3" w:rsidP="00F17C45">
            <w:pPr>
              <w:spacing w:before="60"/>
              <w:jc w:val="center"/>
              <w:rPr>
                <w:sz w:val="20"/>
                <w:szCs w:val="20"/>
              </w:rPr>
            </w:pPr>
            <w:r w:rsidRPr="009048C3">
              <w:rPr>
                <w:sz w:val="20"/>
                <w:szCs w:val="20"/>
              </w:rPr>
              <w:lastRenderedPageBreak/>
              <w:t>4</w:t>
            </w:r>
          </w:p>
        </w:tc>
        <w:tc>
          <w:tcPr>
            <w:tcW w:w="1560" w:type="dxa"/>
            <w:tcBorders>
              <w:bottom w:val="single" w:sz="4" w:space="0" w:color="auto"/>
            </w:tcBorders>
            <w:vAlign w:val="center"/>
          </w:tcPr>
          <w:p w:rsidR="009048C3" w:rsidRPr="009048C3" w:rsidRDefault="009048C3" w:rsidP="00F17C45">
            <w:pPr>
              <w:spacing w:before="60"/>
              <w:jc w:val="center"/>
              <w:rPr>
                <w:sz w:val="20"/>
                <w:szCs w:val="20"/>
              </w:rPr>
            </w:pPr>
            <w:r w:rsidRPr="009048C3">
              <w:rPr>
                <w:sz w:val="20"/>
                <w:szCs w:val="20"/>
              </w:rPr>
              <w:t>&gt; 10 %</w:t>
            </w:r>
          </w:p>
          <w:p w:rsidR="009048C3" w:rsidRDefault="009048C3" w:rsidP="002828A1">
            <w:pPr>
              <w:jc w:val="center"/>
              <w:rPr>
                <w:sz w:val="20"/>
                <w:szCs w:val="20"/>
              </w:rPr>
            </w:pPr>
          </w:p>
          <w:p w:rsidR="002672B3" w:rsidRPr="009048C3" w:rsidRDefault="002672B3" w:rsidP="002828A1">
            <w:pPr>
              <w:jc w:val="center"/>
              <w:rPr>
                <w:sz w:val="20"/>
                <w:szCs w:val="20"/>
              </w:rPr>
            </w:pPr>
          </w:p>
          <w:p w:rsidR="009048C3" w:rsidRPr="009048C3" w:rsidRDefault="009048C3" w:rsidP="002828A1">
            <w:pPr>
              <w:jc w:val="center"/>
              <w:rPr>
                <w:sz w:val="20"/>
                <w:szCs w:val="20"/>
              </w:rPr>
            </w:pPr>
            <w:r w:rsidRPr="009048C3">
              <w:rPr>
                <w:sz w:val="20"/>
                <w:szCs w:val="20"/>
              </w:rPr>
              <w:t>teilweise A</w:t>
            </w:r>
            <w:r w:rsidRPr="009048C3">
              <w:rPr>
                <w:sz w:val="20"/>
                <w:szCs w:val="20"/>
              </w:rPr>
              <w:t>b</w:t>
            </w:r>
            <w:r w:rsidRPr="009048C3">
              <w:rPr>
                <w:sz w:val="20"/>
                <w:szCs w:val="20"/>
              </w:rPr>
              <w:t xml:space="preserve">lehnung bzw. </w:t>
            </w:r>
          </w:p>
          <w:p w:rsidR="009048C3" w:rsidRPr="009048C3" w:rsidRDefault="009048C3" w:rsidP="00EA320E">
            <w:pPr>
              <w:jc w:val="center"/>
              <w:rPr>
                <w:sz w:val="20"/>
                <w:szCs w:val="20"/>
              </w:rPr>
            </w:pPr>
            <w:r w:rsidRPr="009048C3">
              <w:rPr>
                <w:sz w:val="20"/>
                <w:szCs w:val="20"/>
              </w:rPr>
              <w:t xml:space="preserve">teilweise </w:t>
            </w:r>
            <w:r w:rsidR="00EA320E">
              <w:rPr>
                <w:sz w:val="20"/>
                <w:szCs w:val="20"/>
              </w:rPr>
              <w:t>Au</w:t>
            </w:r>
            <w:r w:rsidR="00EA320E">
              <w:rPr>
                <w:sz w:val="20"/>
                <w:szCs w:val="20"/>
              </w:rPr>
              <w:t>f</w:t>
            </w:r>
            <w:r w:rsidR="00EA320E">
              <w:rPr>
                <w:sz w:val="20"/>
                <w:szCs w:val="20"/>
              </w:rPr>
              <w:t>hebung</w:t>
            </w:r>
          </w:p>
        </w:tc>
      </w:tr>
      <w:tr w:rsidR="009048C3" w:rsidRPr="003F7B61" w:rsidTr="002672B3">
        <w:tc>
          <w:tcPr>
            <w:tcW w:w="7088" w:type="dxa"/>
          </w:tcPr>
          <w:p w:rsidR="009048C3" w:rsidRDefault="00502BEF" w:rsidP="006D22A9">
            <w:pPr>
              <w:spacing w:before="60" w:after="60"/>
              <w:rPr>
                <w:sz w:val="20"/>
                <w:szCs w:val="20"/>
              </w:rPr>
            </w:pPr>
            <w:r>
              <w:rPr>
                <w:b/>
                <w:sz w:val="20"/>
                <w:szCs w:val="20"/>
              </w:rPr>
              <w:lastRenderedPageBreak/>
              <w:t>S</w:t>
            </w:r>
            <w:r w:rsidR="009048C3" w:rsidRPr="009048C3">
              <w:rPr>
                <w:b/>
                <w:sz w:val="20"/>
                <w:szCs w:val="20"/>
              </w:rPr>
              <w:t>chwerwiegende Verstöße</w:t>
            </w:r>
            <w:r w:rsidR="009048C3" w:rsidRPr="009048C3">
              <w:rPr>
                <w:sz w:val="20"/>
                <w:szCs w:val="20"/>
              </w:rPr>
              <w:t xml:space="preserve"> gemäß Artikel 35 Absatz 5 VO (EU) Nr. 640/2014</w:t>
            </w:r>
            <w:r>
              <w:rPr>
                <w:sz w:val="20"/>
                <w:szCs w:val="20"/>
              </w:rPr>
              <w:t>:</w:t>
            </w:r>
          </w:p>
          <w:p w:rsidR="003300F0" w:rsidRPr="00502BEF" w:rsidRDefault="00502BEF" w:rsidP="00502BEF">
            <w:pPr>
              <w:pStyle w:val="Listenabsatz"/>
              <w:numPr>
                <w:ilvl w:val="0"/>
                <w:numId w:val="22"/>
              </w:numPr>
              <w:rPr>
                <w:sz w:val="20"/>
                <w:szCs w:val="20"/>
              </w:rPr>
            </w:pPr>
            <w:r w:rsidRPr="00502BEF">
              <w:rPr>
                <w:sz w:val="20"/>
                <w:szCs w:val="20"/>
              </w:rPr>
              <w:t>S</w:t>
            </w:r>
            <w:r w:rsidR="003300F0" w:rsidRPr="00502BEF">
              <w:rPr>
                <w:sz w:val="20"/>
                <w:szCs w:val="20"/>
              </w:rPr>
              <w:t>chwerwiegende Beeinträchtigung der Durchführ</w:t>
            </w:r>
            <w:r w:rsidR="00EF0842" w:rsidRPr="00502BEF">
              <w:rPr>
                <w:sz w:val="20"/>
                <w:szCs w:val="20"/>
              </w:rPr>
              <w:t>ung</w:t>
            </w:r>
            <w:r w:rsidR="003300F0" w:rsidRPr="00502BEF">
              <w:rPr>
                <w:sz w:val="20"/>
                <w:szCs w:val="20"/>
              </w:rPr>
              <w:t xml:space="preserve"> des genehmi</w:t>
            </w:r>
            <w:r w:rsidR="003300F0" w:rsidRPr="00502BEF">
              <w:rPr>
                <w:sz w:val="20"/>
                <w:szCs w:val="20"/>
              </w:rPr>
              <w:t>g</w:t>
            </w:r>
            <w:r w:rsidR="003300F0" w:rsidRPr="00502BEF">
              <w:rPr>
                <w:sz w:val="20"/>
                <w:szCs w:val="20"/>
              </w:rPr>
              <w:t xml:space="preserve">ten </w:t>
            </w:r>
            <w:r w:rsidR="00EF0842" w:rsidRPr="00502BEF">
              <w:rPr>
                <w:sz w:val="20"/>
                <w:szCs w:val="20"/>
              </w:rPr>
              <w:t>Förderv</w:t>
            </w:r>
            <w:r w:rsidR="003300F0" w:rsidRPr="00502BEF">
              <w:rPr>
                <w:sz w:val="20"/>
                <w:szCs w:val="20"/>
              </w:rPr>
              <w:t xml:space="preserve">orhabens </w:t>
            </w:r>
            <w:r w:rsidR="00EF0842" w:rsidRPr="00502BEF">
              <w:rPr>
                <w:sz w:val="20"/>
                <w:szCs w:val="20"/>
              </w:rPr>
              <w:t xml:space="preserve">insgesamt und des damit verbundenen </w:t>
            </w:r>
            <w:r w:rsidR="003300F0" w:rsidRPr="00502BEF">
              <w:rPr>
                <w:sz w:val="20"/>
                <w:szCs w:val="20"/>
              </w:rPr>
              <w:t>Zuwe</w:t>
            </w:r>
            <w:r w:rsidR="003300F0" w:rsidRPr="00502BEF">
              <w:rPr>
                <w:sz w:val="20"/>
                <w:szCs w:val="20"/>
              </w:rPr>
              <w:t>n</w:t>
            </w:r>
            <w:r w:rsidR="003300F0" w:rsidRPr="00502BEF">
              <w:rPr>
                <w:sz w:val="20"/>
                <w:szCs w:val="20"/>
              </w:rPr>
              <w:t>dungszwe</w:t>
            </w:r>
            <w:r w:rsidR="00EF0842" w:rsidRPr="00502BEF">
              <w:rPr>
                <w:sz w:val="20"/>
                <w:szCs w:val="20"/>
              </w:rPr>
              <w:t xml:space="preserve">ckes bzw. </w:t>
            </w:r>
            <w:r w:rsidR="00C413E2" w:rsidRPr="00502BEF">
              <w:rPr>
                <w:sz w:val="20"/>
                <w:szCs w:val="20"/>
              </w:rPr>
              <w:t>–</w:t>
            </w:r>
            <w:r w:rsidR="003300F0" w:rsidRPr="00502BEF">
              <w:rPr>
                <w:sz w:val="20"/>
                <w:szCs w:val="20"/>
              </w:rPr>
              <w:t>zieles</w:t>
            </w:r>
            <w:r w:rsidR="00C413E2" w:rsidRPr="00502BEF">
              <w:rPr>
                <w:sz w:val="20"/>
                <w:szCs w:val="20"/>
              </w:rPr>
              <w:t xml:space="preserve"> (bspw. Nichteinhaltung §§ 2 und 5 Min</w:t>
            </w:r>
            <w:r w:rsidR="00C413E2" w:rsidRPr="00502BEF">
              <w:rPr>
                <w:sz w:val="20"/>
                <w:szCs w:val="20"/>
              </w:rPr>
              <w:t>d</w:t>
            </w:r>
            <w:r w:rsidR="00C413E2" w:rsidRPr="00502BEF">
              <w:rPr>
                <w:sz w:val="20"/>
                <w:szCs w:val="20"/>
              </w:rPr>
              <w:t>LohnG SH)</w:t>
            </w:r>
          </w:p>
          <w:p w:rsidR="009048C3" w:rsidRPr="00502BEF" w:rsidRDefault="00502BEF" w:rsidP="00502BEF">
            <w:pPr>
              <w:pStyle w:val="Listenabsatz"/>
              <w:numPr>
                <w:ilvl w:val="0"/>
                <w:numId w:val="22"/>
              </w:numPr>
              <w:rPr>
                <w:sz w:val="20"/>
                <w:szCs w:val="20"/>
              </w:rPr>
            </w:pPr>
            <w:r w:rsidRPr="00502BEF">
              <w:rPr>
                <w:b/>
                <w:sz w:val="20"/>
                <w:szCs w:val="20"/>
              </w:rPr>
              <w:t>F</w:t>
            </w:r>
            <w:r w:rsidR="009048C3" w:rsidRPr="00502BEF">
              <w:rPr>
                <w:b/>
                <w:sz w:val="20"/>
                <w:szCs w:val="20"/>
              </w:rPr>
              <w:t>alsche Nachweise</w:t>
            </w:r>
            <w:r w:rsidR="009048C3" w:rsidRPr="00502BEF">
              <w:rPr>
                <w:sz w:val="20"/>
                <w:szCs w:val="20"/>
              </w:rPr>
              <w:t xml:space="preserve"> gemäß Artikel 35 Absatz 6 VO (EU) Nr. 640/2014</w:t>
            </w:r>
          </w:p>
          <w:p w:rsidR="009048C3" w:rsidRPr="00254CC5" w:rsidRDefault="00254CC5" w:rsidP="00254CC5">
            <w:pPr>
              <w:pStyle w:val="Listenabsatz"/>
              <w:numPr>
                <w:ilvl w:val="0"/>
                <w:numId w:val="22"/>
              </w:numPr>
              <w:rPr>
                <w:sz w:val="20"/>
                <w:szCs w:val="20"/>
              </w:rPr>
            </w:pPr>
            <w:r w:rsidRPr="00254CC5">
              <w:rPr>
                <w:b/>
                <w:sz w:val="20"/>
                <w:szCs w:val="20"/>
              </w:rPr>
              <w:t>S</w:t>
            </w:r>
            <w:r w:rsidR="00903DF8" w:rsidRPr="00254CC5">
              <w:rPr>
                <w:b/>
                <w:sz w:val="20"/>
                <w:szCs w:val="20"/>
              </w:rPr>
              <w:t xml:space="preserve">chwerwiegender Verstoß gegen </w:t>
            </w:r>
            <w:r w:rsidR="009048C3" w:rsidRPr="00254CC5">
              <w:rPr>
                <w:b/>
                <w:sz w:val="20"/>
                <w:szCs w:val="20"/>
              </w:rPr>
              <w:t>Vergabe</w:t>
            </w:r>
            <w:r w:rsidR="00903DF8" w:rsidRPr="00254CC5">
              <w:rPr>
                <w:b/>
                <w:sz w:val="20"/>
                <w:szCs w:val="20"/>
              </w:rPr>
              <w:t>recht</w:t>
            </w:r>
            <w:r w:rsidR="00080B35" w:rsidRPr="00254CC5">
              <w:rPr>
                <w:sz w:val="20"/>
                <w:szCs w:val="20"/>
              </w:rPr>
              <w:t xml:space="preserve"> (Vgl. Abschnitt 2 KOM-Leitlinie für Finanzkorrekturen bei Vergabeverstößen; hier: Sachverhalte mit einem Berichtigungssatz von 100 %</w:t>
            </w:r>
            <w:r w:rsidR="009048C3" w:rsidRPr="00254CC5">
              <w:rPr>
                <w:sz w:val="20"/>
                <w:szCs w:val="20"/>
              </w:rPr>
              <w:t xml:space="preserve"> nach </w:t>
            </w:r>
            <w:r w:rsidR="008A45C1" w:rsidRPr="00254CC5">
              <w:rPr>
                <w:sz w:val="20"/>
                <w:szCs w:val="20"/>
              </w:rPr>
              <w:t xml:space="preserve">Abschnitt 2 </w:t>
            </w:r>
            <w:r w:rsidR="00080B35" w:rsidRPr="00254CC5">
              <w:rPr>
                <w:sz w:val="20"/>
                <w:szCs w:val="20"/>
              </w:rPr>
              <w:t>Nrn. 1, 2, 21, 24, 25)</w:t>
            </w:r>
          </w:p>
          <w:p w:rsidR="009048C3" w:rsidRDefault="00254CC5" w:rsidP="00254CC5">
            <w:pPr>
              <w:pStyle w:val="Listenabsatz"/>
              <w:numPr>
                <w:ilvl w:val="0"/>
                <w:numId w:val="22"/>
              </w:numPr>
              <w:rPr>
                <w:sz w:val="20"/>
                <w:szCs w:val="20"/>
              </w:rPr>
            </w:pPr>
            <w:r w:rsidRPr="00254CC5">
              <w:rPr>
                <w:sz w:val="20"/>
                <w:szCs w:val="20"/>
              </w:rPr>
              <w:t>M</w:t>
            </w:r>
            <w:r w:rsidR="005D58CE" w:rsidRPr="00254CC5">
              <w:rPr>
                <w:sz w:val="20"/>
                <w:szCs w:val="20"/>
              </w:rPr>
              <w:t>ehr als vier</w:t>
            </w:r>
            <w:r w:rsidR="008A45C1" w:rsidRPr="00254CC5">
              <w:rPr>
                <w:sz w:val="20"/>
                <w:szCs w:val="20"/>
              </w:rPr>
              <w:t xml:space="preserve"> Verstö</w:t>
            </w:r>
            <w:r w:rsidR="009048C3" w:rsidRPr="00254CC5">
              <w:rPr>
                <w:sz w:val="20"/>
                <w:szCs w:val="20"/>
              </w:rPr>
              <w:t>ß</w:t>
            </w:r>
            <w:r w:rsidR="008A45C1" w:rsidRPr="00254CC5">
              <w:rPr>
                <w:sz w:val="20"/>
                <w:szCs w:val="20"/>
              </w:rPr>
              <w:t>e</w:t>
            </w:r>
            <w:r w:rsidR="009048C3" w:rsidRPr="00254CC5">
              <w:rPr>
                <w:sz w:val="20"/>
                <w:szCs w:val="20"/>
              </w:rPr>
              <w:t xml:space="preserve"> der Kategorie </w:t>
            </w:r>
            <w:r w:rsidR="008A45C1" w:rsidRPr="00254CC5">
              <w:rPr>
                <w:sz w:val="20"/>
                <w:szCs w:val="20"/>
              </w:rPr>
              <w:t>4</w:t>
            </w:r>
          </w:p>
          <w:p w:rsidR="00D31254" w:rsidRPr="00254CC5" w:rsidRDefault="00D31254" w:rsidP="002079D3">
            <w:pPr>
              <w:pStyle w:val="Listenabsatz"/>
              <w:numPr>
                <w:ilvl w:val="0"/>
                <w:numId w:val="22"/>
              </w:numPr>
              <w:spacing w:after="60"/>
              <w:rPr>
                <w:sz w:val="20"/>
                <w:szCs w:val="20"/>
              </w:rPr>
            </w:pPr>
            <w:r>
              <w:rPr>
                <w:sz w:val="20"/>
                <w:szCs w:val="20"/>
              </w:rPr>
              <w:t xml:space="preserve">Ausgaben eines Vorhabens, die </w:t>
            </w:r>
            <w:r w:rsidR="002079D3">
              <w:rPr>
                <w:sz w:val="20"/>
                <w:szCs w:val="20"/>
              </w:rPr>
              <w:t xml:space="preserve">bereits </w:t>
            </w:r>
            <w:r w:rsidRPr="00D31254">
              <w:rPr>
                <w:i/>
                <w:sz w:val="20"/>
                <w:szCs w:val="20"/>
              </w:rPr>
              <w:t>vor</w:t>
            </w:r>
            <w:r>
              <w:rPr>
                <w:sz w:val="20"/>
                <w:szCs w:val="20"/>
              </w:rPr>
              <w:t xml:space="preserve"> dem </w:t>
            </w:r>
            <w:r w:rsidRPr="00D31254">
              <w:rPr>
                <w:b/>
                <w:sz w:val="20"/>
                <w:szCs w:val="20"/>
              </w:rPr>
              <w:t>Beginn des Bewi</w:t>
            </w:r>
            <w:r w:rsidRPr="00D31254">
              <w:rPr>
                <w:b/>
                <w:sz w:val="20"/>
                <w:szCs w:val="20"/>
              </w:rPr>
              <w:t>l</w:t>
            </w:r>
            <w:r w:rsidRPr="00D31254">
              <w:rPr>
                <w:b/>
                <w:sz w:val="20"/>
                <w:szCs w:val="20"/>
              </w:rPr>
              <w:t>ligungszeitraumes</w:t>
            </w:r>
            <w:r>
              <w:rPr>
                <w:sz w:val="20"/>
                <w:szCs w:val="20"/>
              </w:rPr>
              <w:t xml:space="preserve"> begründet wurden.</w:t>
            </w:r>
            <w:r>
              <w:rPr>
                <w:sz w:val="20"/>
                <w:szCs w:val="20"/>
              </w:rPr>
              <w:br/>
              <w:t>Sofern mehr als 50 % der beantragten Gesamtausgaben verfrüht b</w:t>
            </w:r>
            <w:r>
              <w:rPr>
                <w:sz w:val="20"/>
                <w:szCs w:val="20"/>
              </w:rPr>
              <w:t>e</w:t>
            </w:r>
            <w:r>
              <w:rPr>
                <w:sz w:val="20"/>
                <w:szCs w:val="20"/>
              </w:rPr>
              <w:t>auftra</w:t>
            </w:r>
            <w:r w:rsidR="002079D3">
              <w:rPr>
                <w:sz w:val="20"/>
                <w:szCs w:val="20"/>
              </w:rPr>
              <w:t>gt bzw. begonnen wurden, sind weitere Folgen n. Art. 35 (5) oder Art. 35 (6) sowie die</w:t>
            </w:r>
            <w:r>
              <w:rPr>
                <w:sz w:val="20"/>
                <w:szCs w:val="20"/>
              </w:rPr>
              <w:t xml:space="preserve"> vollständige Aufhebung des ZWB zu pr</w:t>
            </w:r>
            <w:r>
              <w:rPr>
                <w:sz w:val="20"/>
                <w:szCs w:val="20"/>
              </w:rPr>
              <w:t>ü</w:t>
            </w:r>
            <w:r>
              <w:rPr>
                <w:sz w:val="20"/>
                <w:szCs w:val="20"/>
              </w:rPr>
              <w:t>fen.</w:t>
            </w:r>
          </w:p>
        </w:tc>
        <w:tc>
          <w:tcPr>
            <w:tcW w:w="850" w:type="dxa"/>
            <w:vAlign w:val="center"/>
          </w:tcPr>
          <w:p w:rsidR="009048C3" w:rsidRPr="009048C3" w:rsidRDefault="009048C3" w:rsidP="00F17C45">
            <w:pPr>
              <w:tabs>
                <w:tab w:val="left" w:pos="435"/>
                <w:tab w:val="center" w:pos="522"/>
              </w:tabs>
              <w:spacing w:before="60"/>
              <w:jc w:val="center"/>
              <w:rPr>
                <w:sz w:val="20"/>
                <w:szCs w:val="20"/>
              </w:rPr>
            </w:pPr>
            <w:r w:rsidRPr="009048C3">
              <w:rPr>
                <w:sz w:val="20"/>
                <w:szCs w:val="20"/>
              </w:rPr>
              <w:t>5</w:t>
            </w:r>
          </w:p>
        </w:tc>
        <w:tc>
          <w:tcPr>
            <w:tcW w:w="1560" w:type="dxa"/>
            <w:vAlign w:val="center"/>
          </w:tcPr>
          <w:p w:rsidR="009048C3" w:rsidRPr="009048C3" w:rsidRDefault="009048C3" w:rsidP="00F17C45">
            <w:pPr>
              <w:spacing w:before="60"/>
              <w:jc w:val="center"/>
              <w:rPr>
                <w:sz w:val="20"/>
                <w:szCs w:val="20"/>
              </w:rPr>
            </w:pPr>
            <w:r w:rsidRPr="009048C3">
              <w:rPr>
                <w:sz w:val="20"/>
                <w:szCs w:val="20"/>
              </w:rPr>
              <w:t>100 %</w:t>
            </w:r>
          </w:p>
          <w:p w:rsidR="009048C3" w:rsidRDefault="009048C3" w:rsidP="002828A1">
            <w:pPr>
              <w:jc w:val="center"/>
              <w:rPr>
                <w:sz w:val="20"/>
                <w:szCs w:val="20"/>
              </w:rPr>
            </w:pPr>
          </w:p>
          <w:p w:rsidR="002672B3" w:rsidRPr="009048C3" w:rsidRDefault="002672B3" w:rsidP="002828A1">
            <w:pPr>
              <w:jc w:val="center"/>
              <w:rPr>
                <w:sz w:val="20"/>
                <w:szCs w:val="20"/>
              </w:rPr>
            </w:pPr>
          </w:p>
          <w:p w:rsidR="009048C3" w:rsidRPr="009048C3" w:rsidRDefault="009048C3" w:rsidP="002828A1">
            <w:pPr>
              <w:jc w:val="center"/>
              <w:rPr>
                <w:sz w:val="20"/>
                <w:szCs w:val="20"/>
              </w:rPr>
            </w:pPr>
            <w:r w:rsidRPr="009048C3">
              <w:rPr>
                <w:sz w:val="20"/>
                <w:szCs w:val="20"/>
              </w:rPr>
              <w:t>vollständige Ablehnung</w:t>
            </w:r>
          </w:p>
          <w:p w:rsidR="009048C3" w:rsidRPr="009048C3" w:rsidRDefault="009048C3" w:rsidP="002828A1">
            <w:pPr>
              <w:jc w:val="center"/>
              <w:rPr>
                <w:sz w:val="20"/>
                <w:szCs w:val="20"/>
              </w:rPr>
            </w:pPr>
            <w:r w:rsidRPr="009048C3">
              <w:rPr>
                <w:sz w:val="20"/>
                <w:szCs w:val="20"/>
              </w:rPr>
              <w:t xml:space="preserve">bzw. </w:t>
            </w:r>
          </w:p>
          <w:p w:rsidR="009048C3" w:rsidRPr="009048C3" w:rsidRDefault="009048C3" w:rsidP="002828A1">
            <w:pPr>
              <w:jc w:val="center"/>
              <w:rPr>
                <w:sz w:val="20"/>
                <w:szCs w:val="20"/>
              </w:rPr>
            </w:pPr>
            <w:r w:rsidRPr="009048C3">
              <w:rPr>
                <w:sz w:val="20"/>
                <w:szCs w:val="20"/>
              </w:rPr>
              <w:t>vollständige</w:t>
            </w:r>
          </w:p>
          <w:p w:rsidR="009048C3" w:rsidRDefault="00EA320E" w:rsidP="002828A1">
            <w:pPr>
              <w:jc w:val="center"/>
              <w:rPr>
                <w:sz w:val="20"/>
                <w:szCs w:val="20"/>
              </w:rPr>
            </w:pPr>
            <w:r>
              <w:rPr>
                <w:sz w:val="20"/>
                <w:szCs w:val="20"/>
              </w:rPr>
              <w:t>Aufhebung</w:t>
            </w:r>
          </w:p>
          <w:p w:rsidR="008A45C1" w:rsidRDefault="008A45C1" w:rsidP="002828A1">
            <w:pPr>
              <w:jc w:val="center"/>
              <w:rPr>
                <w:sz w:val="20"/>
                <w:szCs w:val="20"/>
              </w:rPr>
            </w:pPr>
          </w:p>
          <w:p w:rsidR="00CB1B51" w:rsidRDefault="00CB1B51" w:rsidP="00CB1B51">
            <w:pPr>
              <w:spacing w:before="120"/>
              <w:jc w:val="center"/>
              <w:rPr>
                <w:sz w:val="20"/>
                <w:szCs w:val="20"/>
              </w:rPr>
            </w:pPr>
            <w:r>
              <w:rPr>
                <w:sz w:val="20"/>
                <w:szCs w:val="20"/>
              </w:rPr>
              <w:t>Zusätzlich</w:t>
            </w:r>
            <w:r w:rsidR="00487386">
              <w:rPr>
                <w:sz w:val="20"/>
                <w:szCs w:val="20"/>
              </w:rPr>
              <w:t>: Ausschluss</w:t>
            </w:r>
            <w:r w:rsidR="008A45C1">
              <w:rPr>
                <w:sz w:val="20"/>
                <w:szCs w:val="20"/>
              </w:rPr>
              <w:t xml:space="preserve"> im Kalender- und Folgejahr</w:t>
            </w:r>
            <w:r w:rsidR="00487386">
              <w:rPr>
                <w:sz w:val="20"/>
                <w:szCs w:val="20"/>
              </w:rPr>
              <w:t>!</w:t>
            </w:r>
          </w:p>
          <w:p w:rsidR="00CB1B51" w:rsidRPr="009048C3" w:rsidRDefault="00CB1B51" w:rsidP="002828A1">
            <w:pPr>
              <w:jc w:val="center"/>
              <w:rPr>
                <w:sz w:val="20"/>
                <w:szCs w:val="20"/>
              </w:rPr>
            </w:pPr>
          </w:p>
        </w:tc>
      </w:tr>
      <w:tr w:rsidR="00487386" w:rsidRPr="003F7B61" w:rsidTr="007F6CB8">
        <w:tc>
          <w:tcPr>
            <w:tcW w:w="7088" w:type="dxa"/>
            <w:vAlign w:val="center"/>
          </w:tcPr>
          <w:p w:rsidR="007F6CB8" w:rsidRDefault="007F6CB8" w:rsidP="007F6CB8">
            <w:pPr>
              <w:rPr>
                <w:sz w:val="20"/>
                <w:szCs w:val="20"/>
              </w:rPr>
            </w:pPr>
            <w:r>
              <w:rPr>
                <w:b/>
                <w:sz w:val="20"/>
                <w:szCs w:val="20"/>
              </w:rPr>
              <w:t xml:space="preserve">Nichteinhaltung von Förderkriterien </w:t>
            </w:r>
            <w:r w:rsidRPr="00487386">
              <w:rPr>
                <w:sz w:val="20"/>
                <w:szCs w:val="20"/>
              </w:rPr>
              <w:t>n</w:t>
            </w:r>
            <w:r>
              <w:rPr>
                <w:sz w:val="20"/>
                <w:szCs w:val="20"/>
              </w:rPr>
              <w:t>ach</w:t>
            </w:r>
            <w:r w:rsidRPr="00487386">
              <w:rPr>
                <w:sz w:val="20"/>
                <w:szCs w:val="20"/>
              </w:rPr>
              <w:t xml:space="preserve"> Art. 35</w:t>
            </w:r>
            <w:r>
              <w:rPr>
                <w:b/>
                <w:sz w:val="20"/>
                <w:szCs w:val="20"/>
              </w:rPr>
              <w:t xml:space="preserve"> </w:t>
            </w:r>
            <w:r w:rsidRPr="00487386">
              <w:rPr>
                <w:sz w:val="20"/>
                <w:szCs w:val="20"/>
              </w:rPr>
              <w:t>Absatz</w:t>
            </w:r>
            <w:r>
              <w:rPr>
                <w:sz w:val="20"/>
                <w:szCs w:val="20"/>
              </w:rPr>
              <w:t xml:space="preserve"> 1 VO (EU) Nr. 640/2014:</w:t>
            </w:r>
          </w:p>
          <w:p w:rsidR="007F6CB8" w:rsidRDefault="007F6CB8" w:rsidP="007F6CB8">
            <w:pPr>
              <w:jc w:val="center"/>
              <w:rPr>
                <w:sz w:val="20"/>
                <w:szCs w:val="20"/>
              </w:rPr>
            </w:pPr>
            <w:r>
              <w:rPr>
                <w:sz w:val="20"/>
                <w:szCs w:val="20"/>
              </w:rPr>
              <w:t>„Förder-Aus des Vorhabens“</w:t>
            </w:r>
          </w:p>
          <w:p w:rsidR="0098155B" w:rsidRDefault="0098155B" w:rsidP="007F6CB8">
            <w:pPr>
              <w:jc w:val="center"/>
              <w:rPr>
                <w:sz w:val="20"/>
                <w:szCs w:val="20"/>
              </w:rPr>
            </w:pPr>
          </w:p>
          <w:p w:rsidR="0098155B" w:rsidRPr="00893CF9" w:rsidRDefault="0098155B" w:rsidP="0098155B">
            <w:pPr>
              <w:rPr>
                <w:b/>
                <w:sz w:val="20"/>
                <w:szCs w:val="20"/>
              </w:rPr>
            </w:pPr>
            <w:r w:rsidRPr="00893CF9">
              <w:rPr>
                <w:b/>
                <w:sz w:val="20"/>
                <w:szCs w:val="20"/>
              </w:rPr>
              <w:t>Alle Maßnahmen</w:t>
            </w:r>
            <w:r>
              <w:rPr>
                <w:b/>
                <w:sz w:val="20"/>
                <w:szCs w:val="20"/>
              </w:rPr>
              <w:t xml:space="preserve"> außer Leader</w:t>
            </w:r>
            <w:r w:rsidRPr="00893CF9">
              <w:rPr>
                <w:b/>
                <w:sz w:val="20"/>
                <w:szCs w:val="20"/>
              </w:rPr>
              <w:t>:</w:t>
            </w:r>
          </w:p>
          <w:p w:rsidR="0098155B" w:rsidRDefault="0098155B" w:rsidP="0098155B">
            <w:pPr>
              <w:rPr>
                <w:sz w:val="20"/>
                <w:szCs w:val="20"/>
              </w:rPr>
            </w:pPr>
            <w:r>
              <w:rPr>
                <w:sz w:val="20"/>
                <w:szCs w:val="20"/>
              </w:rPr>
              <w:t xml:space="preserve">Fördergebiet: </w:t>
            </w:r>
            <w:r w:rsidRPr="00893CF9">
              <w:rPr>
                <w:sz w:val="20"/>
                <w:szCs w:val="20"/>
              </w:rPr>
              <w:t>Als ländlicher Raum wird die gesamte Landesfläche anges</w:t>
            </w:r>
            <w:r w:rsidRPr="00893CF9">
              <w:rPr>
                <w:sz w:val="20"/>
                <w:szCs w:val="20"/>
              </w:rPr>
              <w:t>e</w:t>
            </w:r>
            <w:r w:rsidRPr="00893CF9">
              <w:rPr>
                <w:sz w:val="20"/>
                <w:szCs w:val="20"/>
              </w:rPr>
              <w:t>hen. Ausgenommen sind die Oberzentren Flensburg, Kiel, Lübeck und Ne</w:t>
            </w:r>
            <w:r w:rsidRPr="00893CF9">
              <w:rPr>
                <w:sz w:val="20"/>
                <w:szCs w:val="20"/>
              </w:rPr>
              <w:t>u</w:t>
            </w:r>
            <w:r w:rsidRPr="00893CF9">
              <w:rPr>
                <w:sz w:val="20"/>
                <w:szCs w:val="20"/>
              </w:rPr>
              <w:t>münster in ihren verwaltungsmäßigen Grenzen. Darüber hinaus sind vom ländlichen Raum Gemeinden mit mehr als 35.000 Einwohnern ausgeno</w:t>
            </w:r>
            <w:r w:rsidRPr="00893CF9">
              <w:rPr>
                <w:sz w:val="20"/>
                <w:szCs w:val="20"/>
              </w:rPr>
              <w:t>m</w:t>
            </w:r>
            <w:r w:rsidRPr="00893CF9">
              <w:rPr>
                <w:sz w:val="20"/>
                <w:szCs w:val="20"/>
              </w:rPr>
              <w:t>men</w:t>
            </w:r>
            <w:r>
              <w:rPr>
                <w:sz w:val="20"/>
                <w:szCs w:val="20"/>
              </w:rPr>
              <w:t>.</w:t>
            </w:r>
          </w:p>
          <w:p w:rsidR="0098155B" w:rsidRDefault="0098155B" w:rsidP="0098155B">
            <w:pPr>
              <w:rPr>
                <w:sz w:val="20"/>
                <w:szCs w:val="20"/>
              </w:rPr>
            </w:pPr>
            <w:r w:rsidRPr="00893CF9">
              <w:rPr>
                <w:sz w:val="20"/>
                <w:szCs w:val="20"/>
              </w:rPr>
              <w:t>Es können nur Vorhaben durchgeführt werden, di</w:t>
            </w:r>
            <w:r>
              <w:rPr>
                <w:sz w:val="20"/>
                <w:szCs w:val="20"/>
              </w:rPr>
              <w:t>e in Übereinstimmung mit vorhan</w:t>
            </w:r>
            <w:r w:rsidRPr="00893CF9">
              <w:rPr>
                <w:sz w:val="20"/>
                <w:szCs w:val="20"/>
              </w:rPr>
              <w:t>denen Plänen für die Entwicklung der Gemeinden und Dörfer in ländl</w:t>
            </w:r>
            <w:r w:rsidRPr="00893CF9">
              <w:rPr>
                <w:sz w:val="20"/>
                <w:szCs w:val="20"/>
              </w:rPr>
              <w:t>i</w:t>
            </w:r>
            <w:r w:rsidRPr="00893CF9">
              <w:rPr>
                <w:sz w:val="20"/>
                <w:szCs w:val="20"/>
              </w:rPr>
              <w:t>chen Gebieten und im Einklang mit der jeweiligen integrierten Entwicklung</w:t>
            </w:r>
            <w:r w:rsidRPr="00893CF9">
              <w:rPr>
                <w:sz w:val="20"/>
                <w:szCs w:val="20"/>
              </w:rPr>
              <w:t>s</w:t>
            </w:r>
            <w:r w:rsidRPr="00893CF9">
              <w:rPr>
                <w:sz w:val="20"/>
                <w:szCs w:val="20"/>
              </w:rPr>
              <w:t>strategie der LAG-</w:t>
            </w:r>
            <w:proofErr w:type="spellStart"/>
            <w:r w:rsidRPr="00893CF9">
              <w:rPr>
                <w:sz w:val="20"/>
                <w:szCs w:val="20"/>
              </w:rPr>
              <w:t>AktivRegion</w:t>
            </w:r>
            <w:proofErr w:type="spellEnd"/>
            <w:r w:rsidRPr="00893CF9">
              <w:rPr>
                <w:sz w:val="20"/>
                <w:szCs w:val="20"/>
              </w:rPr>
              <w:t xml:space="preserve"> oder jeder anderen einschlägigen lokalen Entwicklungsstrategie stehen.</w:t>
            </w:r>
          </w:p>
          <w:p w:rsidR="0098155B" w:rsidRDefault="0098155B" w:rsidP="0098155B">
            <w:pPr>
              <w:rPr>
                <w:sz w:val="20"/>
                <w:szCs w:val="20"/>
              </w:rPr>
            </w:pPr>
          </w:p>
          <w:p w:rsidR="0098155B" w:rsidRDefault="0098155B" w:rsidP="0098155B">
            <w:pPr>
              <w:rPr>
                <w:sz w:val="20"/>
                <w:szCs w:val="20"/>
              </w:rPr>
            </w:pPr>
            <w:r w:rsidRPr="00893CF9">
              <w:rPr>
                <w:b/>
                <w:sz w:val="20"/>
                <w:szCs w:val="20"/>
              </w:rPr>
              <w:t>Maßnahme 7.2 (Wegebau)</w:t>
            </w:r>
            <w:r>
              <w:rPr>
                <w:b/>
                <w:sz w:val="20"/>
                <w:szCs w:val="20"/>
              </w:rPr>
              <w:br/>
            </w:r>
            <w:r>
              <w:rPr>
                <w:sz w:val="20"/>
                <w:szCs w:val="20"/>
              </w:rPr>
              <w:t>Förderfähig sind Investitionen in „kleine Infrastrukturen“. Kleine Infrastrukt</w:t>
            </w:r>
            <w:r>
              <w:rPr>
                <w:sz w:val="20"/>
                <w:szCs w:val="20"/>
              </w:rPr>
              <w:t>u</w:t>
            </w:r>
            <w:r>
              <w:rPr>
                <w:sz w:val="20"/>
                <w:szCs w:val="20"/>
              </w:rPr>
              <w:t>ren sind definiert als Investitionen mit Gesamtkosten von bis zu 1 Mio. Euro.</w:t>
            </w:r>
          </w:p>
          <w:p w:rsidR="0098155B" w:rsidRDefault="0098155B" w:rsidP="0098155B">
            <w:pPr>
              <w:rPr>
                <w:sz w:val="20"/>
                <w:szCs w:val="20"/>
              </w:rPr>
            </w:pPr>
            <w:r w:rsidRPr="00006FC7">
              <w:rPr>
                <w:sz w:val="20"/>
                <w:szCs w:val="20"/>
              </w:rPr>
              <w:t>Es können nur Vorhaben in Orten mit weniger als 10.000 Einwohnern gefö</w:t>
            </w:r>
            <w:r w:rsidRPr="00006FC7">
              <w:rPr>
                <w:sz w:val="20"/>
                <w:szCs w:val="20"/>
              </w:rPr>
              <w:t>r</w:t>
            </w:r>
            <w:r w:rsidRPr="00006FC7">
              <w:rPr>
                <w:sz w:val="20"/>
                <w:szCs w:val="20"/>
              </w:rPr>
              <w:t>dert werden</w:t>
            </w:r>
            <w:r>
              <w:rPr>
                <w:sz w:val="20"/>
                <w:szCs w:val="20"/>
              </w:rPr>
              <w:t>.</w:t>
            </w:r>
            <w:r>
              <w:rPr>
                <w:sz w:val="20"/>
                <w:szCs w:val="20"/>
              </w:rPr>
              <w:br/>
            </w:r>
            <w:r w:rsidRPr="00006FC7">
              <w:rPr>
                <w:sz w:val="20"/>
                <w:szCs w:val="20"/>
              </w:rPr>
              <w:t>Die Förderung darf einen Zuschuss von 75.000 Euro nicht unters</w:t>
            </w:r>
            <w:r>
              <w:rPr>
                <w:sz w:val="20"/>
                <w:szCs w:val="20"/>
              </w:rPr>
              <w:t>chreiten (Bagatell</w:t>
            </w:r>
            <w:r w:rsidRPr="00006FC7">
              <w:rPr>
                <w:sz w:val="20"/>
                <w:szCs w:val="20"/>
              </w:rPr>
              <w:t>grenze).</w:t>
            </w:r>
          </w:p>
          <w:p w:rsidR="0098155B" w:rsidRPr="00893CF9" w:rsidRDefault="0098155B" w:rsidP="0098155B">
            <w:pPr>
              <w:rPr>
                <w:sz w:val="20"/>
                <w:szCs w:val="20"/>
              </w:rPr>
            </w:pPr>
          </w:p>
          <w:p w:rsidR="0098155B" w:rsidRPr="00E814B4" w:rsidRDefault="0098155B" w:rsidP="0098155B">
            <w:pPr>
              <w:rPr>
                <w:sz w:val="20"/>
                <w:szCs w:val="20"/>
              </w:rPr>
            </w:pPr>
            <w:r w:rsidRPr="00006FC7">
              <w:rPr>
                <w:b/>
                <w:sz w:val="20"/>
                <w:szCs w:val="20"/>
              </w:rPr>
              <w:t>Maßnahme 7.3 (Breitband)</w:t>
            </w:r>
            <w:r w:rsidRPr="00006FC7">
              <w:rPr>
                <w:b/>
                <w:sz w:val="20"/>
                <w:szCs w:val="20"/>
              </w:rPr>
              <w:br/>
            </w:r>
            <w:r w:rsidRPr="00E814B4">
              <w:rPr>
                <w:sz w:val="20"/>
                <w:szCs w:val="20"/>
              </w:rPr>
              <w:t>Im Falle der Förderung hat der Begünstigte einen Nachweis der fehlenden oder unzureichenden Breitbandversorgung (</w:t>
            </w:r>
            <w:proofErr w:type="spellStart"/>
            <w:r w:rsidRPr="00E814B4">
              <w:rPr>
                <w:sz w:val="20"/>
                <w:szCs w:val="20"/>
              </w:rPr>
              <w:t>Downstreamübertragungsrate</w:t>
            </w:r>
            <w:proofErr w:type="spellEnd"/>
            <w:r w:rsidRPr="00E814B4">
              <w:rPr>
                <w:sz w:val="20"/>
                <w:szCs w:val="20"/>
              </w:rPr>
              <w:t xml:space="preserve"> von weniger als 6 MBit/s zu erschwinglichen Preisen) im zu versorgenden Gebiet unter Berücksichtigung von Ausbauabsichten der Netzbetreiber wä</w:t>
            </w:r>
            <w:r w:rsidRPr="00E814B4">
              <w:rPr>
                <w:sz w:val="20"/>
                <w:szCs w:val="20"/>
              </w:rPr>
              <w:t>h</w:t>
            </w:r>
            <w:r w:rsidRPr="00E814B4">
              <w:rPr>
                <w:sz w:val="20"/>
                <w:szCs w:val="20"/>
              </w:rPr>
              <w:t>rend der nächsten drei Jahre zu erbringen.</w:t>
            </w:r>
          </w:p>
          <w:p w:rsidR="0098155B" w:rsidRPr="00E814B4" w:rsidRDefault="0098155B" w:rsidP="0098155B">
            <w:pPr>
              <w:rPr>
                <w:sz w:val="20"/>
                <w:szCs w:val="20"/>
              </w:rPr>
            </w:pPr>
            <w:r w:rsidRPr="00E814B4">
              <w:rPr>
                <w:sz w:val="20"/>
                <w:szCs w:val="20"/>
              </w:rPr>
              <w:t>Es können nur Maßnahmen durchgeführt werden, die in Übereinstimmung mit den Plänen für die Entwicklung der Gemeinden und Dörfer in ländlichen Gebieten, wenn sie existieren, oder im Einklang mit allen relevanten lokalen Entwicklungsstrategien stehen.</w:t>
            </w:r>
          </w:p>
          <w:p w:rsidR="0098155B" w:rsidRPr="00E814B4" w:rsidRDefault="0098155B" w:rsidP="0098155B">
            <w:pPr>
              <w:rPr>
                <w:sz w:val="20"/>
                <w:szCs w:val="20"/>
              </w:rPr>
            </w:pPr>
            <w:r w:rsidRPr="00E814B4">
              <w:rPr>
                <w:sz w:val="20"/>
                <w:szCs w:val="20"/>
              </w:rPr>
              <w:t>Voraussetzung für eine solche Maßnahme ist, dass</w:t>
            </w:r>
          </w:p>
          <w:p w:rsidR="0098155B" w:rsidRPr="00E814B4" w:rsidRDefault="0098155B" w:rsidP="0098155B">
            <w:pPr>
              <w:rPr>
                <w:sz w:val="20"/>
                <w:szCs w:val="20"/>
              </w:rPr>
            </w:pPr>
            <w:r w:rsidRPr="00E814B4">
              <w:rPr>
                <w:sz w:val="20"/>
                <w:szCs w:val="20"/>
              </w:rPr>
              <w:t>• innerhalb der nächsten drei Jahre keine Versorgung durch ein Telekomm</w:t>
            </w:r>
            <w:r w:rsidRPr="00E814B4">
              <w:rPr>
                <w:sz w:val="20"/>
                <w:szCs w:val="20"/>
              </w:rPr>
              <w:t>u</w:t>
            </w:r>
            <w:r w:rsidRPr="00E814B4">
              <w:rPr>
                <w:sz w:val="20"/>
                <w:szCs w:val="20"/>
              </w:rPr>
              <w:t>nikationsunternehmen – auch unter Nutzung aller regulatorischen Mittel – zu erwarten ist (Durchführung eines sog. Markterkundungsverfahrens),</w:t>
            </w:r>
          </w:p>
          <w:p w:rsidR="0098155B" w:rsidRPr="00E814B4" w:rsidRDefault="0098155B" w:rsidP="0098155B">
            <w:pPr>
              <w:rPr>
                <w:sz w:val="20"/>
                <w:szCs w:val="20"/>
              </w:rPr>
            </w:pPr>
            <w:r w:rsidRPr="00E814B4">
              <w:rPr>
                <w:sz w:val="20"/>
                <w:szCs w:val="20"/>
              </w:rPr>
              <w:lastRenderedPageBreak/>
              <w:t>• ein öffentliches, transparentes und diskriminierungsfreies Auswahlverfahren stattgefunden hat,</w:t>
            </w:r>
          </w:p>
          <w:p w:rsidR="0098155B" w:rsidRDefault="0098155B" w:rsidP="0098155B">
            <w:pPr>
              <w:rPr>
                <w:sz w:val="20"/>
                <w:szCs w:val="20"/>
              </w:rPr>
            </w:pPr>
            <w:r w:rsidRPr="00E814B4">
              <w:rPr>
                <w:sz w:val="20"/>
                <w:szCs w:val="20"/>
              </w:rPr>
              <w:t>• „Weißer NGA-Fleck“ bezogen auf hochleistungsfähige Breitbandinfrastru</w:t>
            </w:r>
            <w:r w:rsidRPr="00E814B4">
              <w:rPr>
                <w:sz w:val="20"/>
                <w:szCs w:val="20"/>
              </w:rPr>
              <w:t>k</w:t>
            </w:r>
            <w:r w:rsidRPr="00E814B4">
              <w:rPr>
                <w:sz w:val="20"/>
                <w:szCs w:val="20"/>
              </w:rPr>
              <w:t>tur (Versorgung unter 30 Mbit/s) besteht.</w:t>
            </w:r>
          </w:p>
          <w:p w:rsidR="0098155B" w:rsidRDefault="0098155B" w:rsidP="0098155B">
            <w:pPr>
              <w:rPr>
                <w:sz w:val="20"/>
                <w:szCs w:val="20"/>
              </w:rPr>
            </w:pPr>
          </w:p>
          <w:p w:rsidR="0098155B" w:rsidRDefault="0098155B" w:rsidP="0098155B">
            <w:pPr>
              <w:rPr>
                <w:sz w:val="20"/>
                <w:szCs w:val="20"/>
              </w:rPr>
            </w:pPr>
            <w:r w:rsidRPr="00893CF9">
              <w:rPr>
                <w:b/>
                <w:sz w:val="20"/>
                <w:szCs w:val="20"/>
              </w:rPr>
              <w:t>Maßnahmen 7.4 (Lokale Basisdienstleistungen), 7.5 (Tourismus), 7.6.1 (Ländliches Kulturerbe):</w:t>
            </w:r>
            <w:r>
              <w:rPr>
                <w:sz w:val="20"/>
                <w:szCs w:val="20"/>
              </w:rPr>
              <w:br/>
              <w:t>Förderfähig sind Investitionen in „kleine Infrastrukturen“. Kleine Infrastrukt</w:t>
            </w:r>
            <w:r>
              <w:rPr>
                <w:sz w:val="20"/>
                <w:szCs w:val="20"/>
              </w:rPr>
              <w:t>u</w:t>
            </w:r>
            <w:r>
              <w:rPr>
                <w:sz w:val="20"/>
                <w:szCs w:val="20"/>
              </w:rPr>
              <w:t xml:space="preserve">ren sind definiert als Investitionen mit Gesamtkosten von bis zu 5 Mio. Euro. </w:t>
            </w:r>
          </w:p>
          <w:p w:rsidR="0098155B" w:rsidRDefault="0098155B" w:rsidP="0098155B">
            <w:pPr>
              <w:rPr>
                <w:sz w:val="20"/>
                <w:szCs w:val="20"/>
              </w:rPr>
            </w:pPr>
            <w:r>
              <w:rPr>
                <w:sz w:val="20"/>
                <w:szCs w:val="20"/>
              </w:rPr>
              <w:t>Für investive Vorhaben ist ein Nachweis der wirtschaftlichen Tragfähigkeit inklusive Folgekosten vorzulegen.</w:t>
            </w:r>
          </w:p>
          <w:p w:rsidR="0098155B" w:rsidRDefault="0098155B" w:rsidP="0098155B">
            <w:pPr>
              <w:rPr>
                <w:sz w:val="20"/>
                <w:szCs w:val="20"/>
              </w:rPr>
            </w:pPr>
            <w:r>
              <w:rPr>
                <w:sz w:val="20"/>
                <w:szCs w:val="20"/>
              </w:rPr>
              <w:t>Im Förderbereich des GAK-Rahmenplans können nur Maßnahmen in Orten mit weniger als 10.000 Einwohnern gefördert werden.</w:t>
            </w:r>
          </w:p>
          <w:p w:rsidR="0098155B" w:rsidRDefault="0098155B" w:rsidP="0098155B">
            <w:pPr>
              <w:rPr>
                <w:sz w:val="20"/>
                <w:szCs w:val="20"/>
              </w:rPr>
            </w:pPr>
            <w:r>
              <w:rPr>
                <w:sz w:val="20"/>
                <w:szCs w:val="20"/>
              </w:rPr>
              <w:t>Die Förderung das einen Zuschuss in Höhe von 100.000 Euro bei Zuwe</w:t>
            </w:r>
            <w:r>
              <w:rPr>
                <w:sz w:val="20"/>
                <w:szCs w:val="20"/>
              </w:rPr>
              <w:t>n</w:t>
            </w:r>
            <w:r>
              <w:rPr>
                <w:sz w:val="20"/>
                <w:szCs w:val="20"/>
              </w:rPr>
              <w:t>dungen für Investitionen nicht unterschreiten (Bagatellgrenze).</w:t>
            </w:r>
          </w:p>
          <w:p w:rsidR="0098155B" w:rsidRDefault="0098155B" w:rsidP="0098155B">
            <w:pPr>
              <w:rPr>
                <w:sz w:val="20"/>
                <w:szCs w:val="20"/>
              </w:rPr>
            </w:pPr>
          </w:p>
          <w:p w:rsidR="0098155B" w:rsidRDefault="0098155B" w:rsidP="0098155B">
            <w:pPr>
              <w:rPr>
                <w:sz w:val="20"/>
                <w:szCs w:val="20"/>
              </w:rPr>
            </w:pPr>
            <w:r>
              <w:rPr>
                <w:b/>
                <w:sz w:val="20"/>
                <w:szCs w:val="20"/>
              </w:rPr>
              <w:t>Maßnahme 7.5 (Tourismus):</w:t>
            </w:r>
            <w:r>
              <w:rPr>
                <w:b/>
                <w:sz w:val="20"/>
                <w:szCs w:val="20"/>
              </w:rPr>
              <w:br/>
            </w:r>
            <w:r>
              <w:rPr>
                <w:sz w:val="20"/>
                <w:szCs w:val="20"/>
              </w:rPr>
              <w:t>Förderfähig sind Investitionen in „kleine Infrastrukturen“. Kleine Infrastrukt</w:t>
            </w:r>
            <w:r>
              <w:rPr>
                <w:sz w:val="20"/>
                <w:szCs w:val="20"/>
              </w:rPr>
              <w:t>u</w:t>
            </w:r>
            <w:r>
              <w:rPr>
                <w:sz w:val="20"/>
                <w:szCs w:val="20"/>
              </w:rPr>
              <w:t xml:space="preserve">ren sind definiert als Investitionen mit Gesamtkosten von bis zu 5 Mio. Euro. </w:t>
            </w:r>
          </w:p>
          <w:p w:rsidR="0098155B" w:rsidRDefault="0098155B" w:rsidP="0098155B">
            <w:pPr>
              <w:rPr>
                <w:sz w:val="20"/>
                <w:szCs w:val="20"/>
              </w:rPr>
            </w:pPr>
            <w:r>
              <w:rPr>
                <w:sz w:val="20"/>
                <w:szCs w:val="20"/>
              </w:rPr>
              <w:t>Für investive Vorhaben ist ein Nachweis der wirtschaftlichen Tragfähigkeit inklusive Folgekosten vorzulegen.</w:t>
            </w:r>
          </w:p>
          <w:p w:rsidR="0098155B" w:rsidRDefault="0098155B" w:rsidP="0098155B">
            <w:pPr>
              <w:rPr>
                <w:sz w:val="20"/>
                <w:szCs w:val="20"/>
              </w:rPr>
            </w:pPr>
            <w:r>
              <w:rPr>
                <w:sz w:val="20"/>
                <w:szCs w:val="20"/>
              </w:rPr>
              <w:t>Die Förderung das einen Zuschuss in Höhe von 100.000 Euro bei Zuwe</w:t>
            </w:r>
            <w:r>
              <w:rPr>
                <w:sz w:val="20"/>
                <w:szCs w:val="20"/>
              </w:rPr>
              <w:t>n</w:t>
            </w:r>
            <w:r>
              <w:rPr>
                <w:sz w:val="20"/>
                <w:szCs w:val="20"/>
              </w:rPr>
              <w:t>dungen für Investitionen nicht unterschreiten (Bagatellgrenze).</w:t>
            </w:r>
          </w:p>
          <w:p w:rsidR="0098155B" w:rsidRDefault="0098155B" w:rsidP="0098155B">
            <w:pPr>
              <w:rPr>
                <w:b/>
                <w:sz w:val="20"/>
                <w:szCs w:val="20"/>
              </w:rPr>
            </w:pPr>
          </w:p>
          <w:p w:rsidR="0098155B" w:rsidRDefault="0098155B" w:rsidP="0098155B">
            <w:pPr>
              <w:rPr>
                <w:b/>
                <w:sz w:val="20"/>
                <w:szCs w:val="20"/>
              </w:rPr>
            </w:pPr>
          </w:p>
          <w:p w:rsidR="0098155B" w:rsidRDefault="0098155B" w:rsidP="0098155B">
            <w:pPr>
              <w:rPr>
                <w:b/>
                <w:sz w:val="20"/>
                <w:szCs w:val="20"/>
              </w:rPr>
            </w:pPr>
            <w:r>
              <w:rPr>
                <w:b/>
                <w:sz w:val="20"/>
                <w:szCs w:val="20"/>
              </w:rPr>
              <w:t>Maßnahme</w:t>
            </w:r>
            <w:r w:rsidRPr="00006FC7">
              <w:rPr>
                <w:b/>
                <w:sz w:val="20"/>
                <w:szCs w:val="20"/>
              </w:rPr>
              <w:t xml:space="preserve"> 19.2</w:t>
            </w:r>
            <w:r>
              <w:rPr>
                <w:b/>
                <w:sz w:val="20"/>
                <w:szCs w:val="20"/>
              </w:rPr>
              <w:t xml:space="preserve"> (Leader- Umsetzung von Maßnahmen):</w:t>
            </w:r>
          </w:p>
          <w:p w:rsidR="0098155B" w:rsidRDefault="0098155B" w:rsidP="0098155B">
            <w:pPr>
              <w:rPr>
                <w:sz w:val="20"/>
                <w:szCs w:val="20"/>
              </w:rPr>
            </w:pPr>
            <w:r>
              <w:rPr>
                <w:sz w:val="20"/>
                <w:szCs w:val="20"/>
              </w:rPr>
              <w:t>Die Integrierte Entwicklungsstrategie wurde von der Verwaltungsbehörde genehmigt.</w:t>
            </w:r>
          </w:p>
          <w:p w:rsidR="0098155B" w:rsidRDefault="0098155B" w:rsidP="0098155B">
            <w:pPr>
              <w:rPr>
                <w:sz w:val="20"/>
                <w:szCs w:val="20"/>
              </w:rPr>
            </w:pPr>
            <w:r w:rsidRPr="00006FC7">
              <w:rPr>
                <w:sz w:val="20"/>
                <w:szCs w:val="20"/>
              </w:rPr>
              <w:t>Die Vorhaben müssen einen Beitrag zu den Zielen der jeweiligen Integrierten Entwicklungsstrategie der LAG leisten.</w:t>
            </w:r>
          </w:p>
          <w:p w:rsidR="0098155B" w:rsidRPr="00006FC7" w:rsidRDefault="0098155B" w:rsidP="0098155B">
            <w:pPr>
              <w:rPr>
                <w:sz w:val="20"/>
                <w:szCs w:val="20"/>
              </w:rPr>
            </w:pPr>
            <w:r w:rsidRPr="00006FC7">
              <w:rPr>
                <w:sz w:val="20"/>
                <w:szCs w:val="20"/>
              </w:rPr>
              <w:t>Für die Vorhaben müssen positive Projektauswahl-Beschlüsse durch das Entscheidungsgremium der LAG vorliegen.</w:t>
            </w:r>
          </w:p>
          <w:p w:rsidR="0098155B" w:rsidRDefault="0098155B" w:rsidP="0098155B">
            <w:pPr>
              <w:rPr>
                <w:b/>
                <w:sz w:val="20"/>
                <w:szCs w:val="20"/>
              </w:rPr>
            </w:pPr>
          </w:p>
          <w:p w:rsidR="0098155B" w:rsidRDefault="0098155B" w:rsidP="0098155B">
            <w:pPr>
              <w:rPr>
                <w:b/>
                <w:sz w:val="20"/>
                <w:szCs w:val="20"/>
              </w:rPr>
            </w:pPr>
            <w:r>
              <w:rPr>
                <w:b/>
                <w:sz w:val="20"/>
                <w:szCs w:val="20"/>
              </w:rPr>
              <w:t>Maßnahme</w:t>
            </w:r>
            <w:r w:rsidRPr="00006FC7">
              <w:rPr>
                <w:b/>
                <w:sz w:val="20"/>
                <w:szCs w:val="20"/>
              </w:rPr>
              <w:t xml:space="preserve"> 19.3 </w:t>
            </w:r>
            <w:r>
              <w:rPr>
                <w:b/>
                <w:sz w:val="20"/>
                <w:szCs w:val="20"/>
              </w:rPr>
              <w:t>(Leader Kooperationen):</w:t>
            </w:r>
          </w:p>
          <w:p w:rsidR="0098155B" w:rsidRPr="00E814B4" w:rsidRDefault="0098155B" w:rsidP="0098155B">
            <w:pPr>
              <w:rPr>
                <w:sz w:val="20"/>
                <w:szCs w:val="20"/>
              </w:rPr>
            </w:pPr>
            <w:r w:rsidRPr="00E814B4">
              <w:rPr>
                <w:sz w:val="20"/>
                <w:szCs w:val="20"/>
              </w:rPr>
              <w:t>• anerkannte LAG</w:t>
            </w:r>
          </w:p>
          <w:p w:rsidR="0098155B" w:rsidRPr="00E814B4" w:rsidRDefault="0098155B" w:rsidP="0098155B">
            <w:pPr>
              <w:rPr>
                <w:sz w:val="20"/>
                <w:szCs w:val="20"/>
              </w:rPr>
            </w:pPr>
            <w:r w:rsidRPr="00E814B4">
              <w:rPr>
                <w:sz w:val="20"/>
                <w:szCs w:val="20"/>
              </w:rPr>
              <w:t>• Die Maßnahmen müssen einen Beitrag zu den Zielen der jeweiligen IES leisten.</w:t>
            </w:r>
          </w:p>
          <w:p w:rsidR="0098155B" w:rsidRPr="00E814B4" w:rsidRDefault="0098155B" w:rsidP="0098155B">
            <w:pPr>
              <w:rPr>
                <w:sz w:val="20"/>
                <w:szCs w:val="20"/>
              </w:rPr>
            </w:pPr>
            <w:r w:rsidRPr="00E814B4">
              <w:rPr>
                <w:sz w:val="20"/>
                <w:szCs w:val="20"/>
              </w:rPr>
              <w:t xml:space="preserve">Durch die Zusammenarbeit soll neben der Optimierung der Kompetenz auch die Effektivität hinsichtlich einer gemeinsamen Problemlösung der </w:t>
            </w:r>
            <w:proofErr w:type="spellStart"/>
            <w:r w:rsidRPr="00E814B4">
              <w:rPr>
                <w:sz w:val="20"/>
                <w:szCs w:val="20"/>
              </w:rPr>
              <w:t>Lokalen</w:t>
            </w:r>
            <w:proofErr w:type="spellEnd"/>
            <w:r w:rsidRPr="00E814B4">
              <w:rPr>
                <w:sz w:val="20"/>
                <w:szCs w:val="20"/>
              </w:rPr>
              <w:t xml:space="preserve"> Aktionsgruppen gesteigert werden. Dabei gelten die folgenden Mindestanfo</w:t>
            </w:r>
            <w:r w:rsidRPr="00E814B4">
              <w:rPr>
                <w:sz w:val="20"/>
                <w:szCs w:val="20"/>
              </w:rPr>
              <w:t>r</w:t>
            </w:r>
            <w:r w:rsidRPr="00E814B4">
              <w:rPr>
                <w:sz w:val="20"/>
                <w:szCs w:val="20"/>
              </w:rPr>
              <w:t>derungen:</w:t>
            </w:r>
          </w:p>
          <w:p w:rsidR="0098155B" w:rsidRPr="00E814B4" w:rsidRDefault="0098155B" w:rsidP="0098155B">
            <w:pPr>
              <w:rPr>
                <w:sz w:val="20"/>
                <w:szCs w:val="20"/>
              </w:rPr>
            </w:pPr>
            <w:r w:rsidRPr="00E814B4">
              <w:rPr>
                <w:sz w:val="20"/>
                <w:szCs w:val="20"/>
              </w:rPr>
              <w:t>• die der Kooperation zugrunde liegenden Regionen haben eine ähnliche Ausgangs- und Problemlage.</w:t>
            </w:r>
          </w:p>
          <w:p w:rsidR="0098155B" w:rsidRPr="00E814B4" w:rsidRDefault="0098155B" w:rsidP="0098155B">
            <w:pPr>
              <w:rPr>
                <w:sz w:val="20"/>
                <w:szCs w:val="20"/>
              </w:rPr>
            </w:pPr>
            <w:r w:rsidRPr="00E814B4">
              <w:rPr>
                <w:sz w:val="20"/>
                <w:szCs w:val="20"/>
              </w:rPr>
              <w:t>• Die Zusammenarbeit darf sich nicht nur auf den Austausch von Erfahrungen und Informationen beschränken, sondern soll auf die Durchführung gemei</w:t>
            </w:r>
            <w:r w:rsidRPr="00E814B4">
              <w:rPr>
                <w:sz w:val="20"/>
                <w:szCs w:val="20"/>
              </w:rPr>
              <w:t>n</w:t>
            </w:r>
            <w:r w:rsidRPr="00E814B4">
              <w:rPr>
                <w:sz w:val="20"/>
                <w:szCs w:val="20"/>
              </w:rPr>
              <w:t>samer Projekte zur Problemlösung ausgerichtet sein.</w:t>
            </w:r>
          </w:p>
          <w:p w:rsidR="0098155B" w:rsidRPr="00E814B4" w:rsidRDefault="0098155B" w:rsidP="0098155B">
            <w:pPr>
              <w:rPr>
                <w:sz w:val="20"/>
                <w:szCs w:val="20"/>
              </w:rPr>
            </w:pPr>
            <w:r w:rsidRPr="00E814B4">
              <w:rPr>
                <w:sz w:val="20"/>
                <w:szCs w:val="20"/>
              </w:rPr>
              <w:t>Die gebietsübergreifende Zusammenarbeit innerhalb Deutschlands ist auf die Gebiete beschränkt, die gem. Art. 33 der Verordnung (EU) Nr. 1303 / 2013 ausgewählt worden sind.</w:t>
            </w:r>
          </w:p>
          <w:p w:rsidR="0098155B" w:rsidRPr="00E814B4" w:rsidRDefault="0098155B" w:rsidP="0098155B">
            <w:pPr>
              <w:rPr>
                <w:sz w:val="20"/>
                <w:szCs w:val="20"/>
              </w:rPr>
            </w:pPr>
            <w:r w:rsidRPr="00E814B4">
              <w:rPr>
                <w:sz w:val="20"/>
                <w:szCs w:val="20"/>
              </w:rPr>
              <w:t xml:space="preserve">Die transnationale Zusammenarbeit betrifft Projekte von </w:t>
            </w:r>
            <w:proofErr w:type="spellStart"/>
            <w:r w:rsidRPr="00E814B4">
              <w:rPr>
                <w:sz w:val="20"/>
                <w:szCs w:val="20"/>
              </w:rPr>
              <w:t>LAGn</w:t>
            </w:r>
            <w:proofErr w:type="spellEnd"/>
            <w:r w:rsidRPr="00E814B4">
              <w:rPr>
                <w:sz w:val="20"/>
                <w:szCs w:val="20"/>
              </w:rPr>
              <w:t xml:space="preserve"> aus minde</w:t>
            </w:r>
            <w:r w:rsidRPr="00E814B4">
              <w:rPr>
                <w:sz w:val="20"/>
                <w:szCs w:val="20"/>
              </w:rPr>
              <w:t>s</w:t>
            </w:r>
            <w:r w:rsidRPr="00E814B4">
              <w:rPr>
                <w:sz w:val="20"/>
                <w:szCs w:val="20"/>
              </w:rPr>
              <w:t>tens zwei Mitgliedstaaten, bzw. einem Mitgliedstaat und einem Drittstaat. Gemäß Artikel 44 (4) der Verordnung (EU) Nr. 1305 / 2013 teilen die Mi</w:t>
            </w:r>
            <w:r w:rsidRPr="00E814B4">
              <w:rPr>
                <w:sz w:val="20"/>
                <w:szCs w:val="20"/>
              </w:rPr>
              <w:t>t</w:t>
            </w:r>
            <w:r w:rsidRPr="00E814B4">
              <w:rPr>
                <w:sz w:val="20"/>
                <w:szCs w:val="20"/>
              </w:rPr>
              <w:t>gliedsstaaten der Kommission die genehmigten Transnationalen Kooperat</w:t>
            </w:r>
            <w:r w:rsidRPr="00E814B4">
              <w:rPr>
                <w:sz w:val="20"/>
                <w:szCs w:val="20"/>
              </w:rPr>
              <w:t>i</w:t>
            </w:r>
            <w:r w:rsidRPr="00E814B4">
              <w:rPr>
                <w:sz w:val="20"/>
                <w:szCs w:val="20"/>
              </w:rPr>
              <w:t>onsvorhaben mit.</w:t>
            </w:r>
          </w:p>
          <w:p w:rsidR="0098155B" w:rsidRPr="00E814B4" w:rsidRDefault="0098155B" w:rsidP="0098155B">
            <w:pPr>
              <w:rPr>
                <w:sz w:val="20"/>
                <w:szCs w:val="20"/>
              </w:rPr>
            </w:pPr>
            <w:r w:rsidRPr="00E814B4">
              <w:rPr>
                <w:sz w:val="20"/>
                <w:szCs w:val="20"/>
              </w:rPr>
              <w:t xml:space="preserve">Neben den </w:t>
            </w:r>
            <w:proofErr w:type="spellStart"/>
            <w:r w:rsidRPr="00E814B4">
              <w:rPr>
                <w:sz w:val="20"/>
                <w:szCs w:val="20"/>
              </w:rPr>
              <w:t>LAGn</w:t>
            </w:r>
            <w:proofErr w:type="spellEnd"/>
            <w:r w:rsidRPr="00E814B4">
              <w:rPr>
                <w:sz w:val="20"/>
                <w:szCs w:val="20"/>
              </w:rPr>
              <w:t xml:space="preserve"> können die Partner einer LAG nach Art. 44 (2) der Veror</w:t>
            </w:r>
            <w:r w:rsidRPr="00E814B4">
              <w:rPr>
                <w:sz w:val="20"/>
                <w:szCs w:val="20"/>
              </w:rPr>
              <w:t>d</w:t>
            </w:r>
            <w:r w:rsidRPr="00E814B4">
              <w:rPr>
                <w:sz w:val="20"/>
                <w:szCs w:val="20"/>
              </w:rPr>
              <w:t>nung (EU) Nr. 1305 / 2013 eine Gruppe aus lokalen öffentlichen und privaten Partner in einem ländlichen Gebiet sein, die eine lokale Entwicklungsstrategie innerhalb oder außerhalb der EU umsetzt oder eine Gruppe aus lokalen ö</w:t>
            </w:r>
            <w:r w:rsidRPr="00E814B4">
              <w:rPr>
                <w:sz w:val="20"/>
                <w:szCs w:val="20"/>
              </w:rPr>
              <w:t>f</w:t>
            </w:r>
            <w:r w:rsidRPr="00E814B4">
              <w:rPr>
                <w:sz w:val="20"/>
                <w:szCs w:val="20"/>
              </w:rPr>
              <w:t>fentlichen</w:t>
            </w:r>
            <w:r>
              <w:rPr>
                <w:sz w:val="20"/>
                <w:szCs w:val="20"/>
              </w:rPr>
              <w:t xml:space="preserve"> </w:t>
            </w:r>
            <w:r w:rsidRPr="00E814B4">
              <w:rPr>
                <w:sz w:val="20"/>
                <w:szCs w:val="20"/>
              </w:rPr>
              <w:t xml:space="preserve">und privaten Partnern in einem nichtländlichen Gebiet, die eine </w:t>
            </w:r>
            <w:r w:rsidRPr="00E814B4">
              <w:rPr>
                <w:sz w:val="20"/>
                <w:szCs w:val="20"/>
              </w:rPr>
              <w:lastRenderedPageBreak/>
              <w:t>lokale Entwicklungsstrategie umsetzt. Die Anerkennung der Partnerregion ist Bestandteil der Genehmigung des jeweiligen Kooperationsprojektes.</w:t>
            </w:r>
          </w:p>
          <w:p w:rsidR="0098155B" w:rsidRPr="00E814B4" w:rsidRDefault="0098155B" w:rsidP="0098155B">
            <w:pPr>
              <w:rPr>
                <w:sz w:val="20"/>
                <w:szCs w:val="20"/>
              </w:rPr>
            </w:pPr>
            <w:r w:rsidRPr="00E814B4">
              <w:rPr>
                <w:sz w:val="20"/>
                <w:szCs w:val="20"/>
              </w:rPr>
              <w:t>In der Regel ist wie folgt vorzugehen:</w:t>
            </w:r>
          </w:p>
          <w:p w:rsidR="0098155B" w:rsidRPr="00E814B4" w:rsidRDefault="0098155B" w:rsidP="0098155B">
            <w:pPr>
              <w:rPr>
                <w:sz w:val="20"/>
                <w:szCs w:val="20"/>
              </w:rPr>
            </w:pPr>
            <w:r w:rsidRPr="00E814B4">
              <w:rPr>
                <w:sz w:val="20"/>
                <w:szCs w:val="20"/>
              </w:rPr>
              <w:t>Schritt 1: Nach Auswahl und Beschlussfassung durch die LAG, der Antrag</w:t>
            </w:r>
            <w:r w:rsidRPr="00E814B4">
              <w:rPr>
                <w:sz w:val="20"/>
                <w:szCs w:val="20"/>
              </w:rPr>
              <w:t>s</w:t>
            </w:r>
            <w:r w:rsidRPr="00E814B4">
              <w:rPr>
                <w:sz w:val="20"/>
                <w:szCs w:val="20"/>
              </w:rPr>
              <w:t>prüfung der zuständigen Behörde und der Genehmigung durch das zuständ</w:t>
            </w:r>
            <w:r w:rsidRPr="00E814B4">
              <w:rPr>
                <w:sz w:val="20"/>
                <w:szCs w:val="20"/>
              </w:rPr>
              <w:t>i</w:t>
            </w:r>
            <w:r w:rsidRPr="00E814B4">
              <w:rPr>
                <w:sz w:val="20"/>
                <w:szCs w:val="20"/>
              </w:rPr>
              <w:t>ge Fachreferat bei transnationalen Projekten, kann der Förderbescheid erteilt werden.</w:t>
            </w:r>
          </w:p>
          <w:p w:rsidR="0098155B" w:rsidRPr="00E814B4" w:rsidRDefault="0098155B" w:rsidP="0098155B">
            <w:pPr>
              <w:rPr>
                <w:sz w:val="20"/>
                <w:szCs w:val="20"/>
              </w:rPr>
            </w:pPr>
            <w:r w:rsidRPr="00E814B4">
              <w:rPr>
                <w:sz w:val="20"/>
                <w:szCs w:val="20"/>
              </w:rPr>
              <w:t>Schritt 2: Bei transnationalen Projekten informiert das Fachreferat über die Verwaltungsbehörde die Kommission mittels des "Formular für den Informat</w:t>
            </w:r>
            <w:r w:rsidRPr="00E814B4">
              <w:rPr>
                <w:sz w:val="20"/>
                <w:szCs w:val="20"/>
              </w:rPr>
              <w:t>i</w:t>
            </w:r>
            <w:r w:rsidRPr="00E814B4">
              <w:rPr>
                <w:sz w:val="20"/>
                <w:szCs w:val="20"/>
              </w:rPr>
              <w:t>onsaustausch zu Projekten der transnationalen Zusammenarbeit" via SFC über die Genehmigung der Projekte.</w:t>
            </w:r>
          </w:p>
          <w:p w:rsidR="0098155B" w:rsidRPr="00E814B4" w:rsidRDefault="0098155B" w:rsidP="0098155B">
            <w:pPr>
              <w:rPr>
                <w:sz w:val="20"/>
                <w:szCs w:val="20"/>
              </w:rPr>
            </w:pPr>
            <w:r w:rsidRPr="00E814B4">
              <w:rPr>
                <w:sz w:val="20"/>
                <w:szCs w:val="20"/>
              </w:rPr>
              <w:t>Schritt 3: Über die europäische Datenbank kann die Verwaltungsbehörde den Genehmigungsstand der beteiligten Mitgliedsstaaten einsehen, sobald der Nachweis vorliegt, dass die zuständigen Behörden in den anderen Mitglied</w:t>
            </w:r>
            <w:r w:rsidRPr="00E814B4">
              <w:rPr>
                <w:sz w:val="20"/>
                <w:szCs w:val="20"/>
              </w:rPr>
              <w:t>s</w:t>
            </w:r>
            <w:r w:rsidRPr="00E814B4">
              <w:rPr>
                <w:sz w:val="20"/>
                <w:szCs w:val="20"/>
              </w:rPr>
              <w:t>staaten ein Projekt genehmigt.</w:t>
            </w:r>
          </w:p>
          <w:p w:rsidR="0098155B" w:rsidRDefault="0098155B" w:rsidP="0098155B">
            <w:pPr>
              <w:rPr>
                <w:sz w:val="20"/>
                <w:szCs w:val="20"/>
              </w:rPr>
            </w:pPr>
            <w:r w:rsidRPr="00E814B4">
              <w:rPr>
                <w:sz w:val="20"/>
                <w:szCs w:val="20"/>
              </w:rPr>
              <w:t>Grundsätzlich gilt, dass der Förderbescheid nur unter der Auflage rechtskrä</w:t>
            </w:r>
            <w:r w:rsidRPr="00E814B4">
              <w:rPr>
                <w:sz w:val="20"/>
                <w:szCs w:val="20"/>
              </w:rPr>
              <w:t>f</w:t>
            </w:r>
            <w:r w:rsidRPr="00E814B4">
              <w:rPr>
                <w:sz w:val="20"/>
                <w:szCs w:val="20"/>
              </w:rPr>
              <w:t>tig wird, dass alle an der Umsetzung beteiligten Kooperationspartner</w:t>
            </w:r>
          </w:p>
          <w:p w:rsidR="0098155B" w:rsidRPr="00E814B4" w:rsidRDefault="0098155B" w:rsidP="0098155B">
            <w:pPr>
              <w:rPr>
                <w:sz w:val="20"/>
                <w:szCs w:val="20"/>
              </w:rPr>
            </w:pPr>
          </w:p>
          <w:p w:rsidR="0098155B" w:rsidRPr="00006FC7" w:rsidRDefault="0098155B" w:rsidP="0098155B">
            <w:pPr>
              <w:rPr>
                <w:sz w:val="20"/>
                <w:szCs w:val="20"/>
              </w:rPr>
            </w:pPr>
            <w:r>
              <w:rPr>
                <w:b/>
                <w:sz w:val="20"/>
                <w:szCs w:val="20"/>
              </w:rPr>
              <w:t>Maßnahme</w:t>
            </w:r>
            <w:r w:rsidRPr="00006FC7">
              <w:rPr>
                <w:b/>
                <w:sz w:val="20"/>
                <w:szCs w:val="20"/>
              </w:rPr>
              <w:t xml:space="preserve"> 19.4 (Leader</w:t>
            </w:r>
            <w:r>
              <w:rPr>
                <w:b/>
                <w:sz w:val="20"/>
                <w:szCs w:val="20"/>
              </w:rPr>
              <w:t xml:space="preserve"> Managementkosten</w:t>
            </w:r>
            <w:r w:rsidRPr="00006FC7">
              <w:rPr>
                <w:b/>
                <w:sz w:val="20"/>
                <w:szCs w:val="20"/>
              </w:rPr>
              <w:t>):</w:t>
            </w:r>
            <w:r w:rsidRPr="00006FC7">
              <w:rPr>
                <w:b/>
                <w:sz w:val="20"/>
                <w:szCs w:val="20"/>
              </w:rPr>
              <w:br/>
            </w:r>
            <w:r w:rsidRPr="00E814B4">
              <w:rPr>
                <w:sz w:val="20"/>
                <w:szCs w:val="20"/>
              </w:rPr>
              <w:t>Fördervoraussetzungen für die laufenden Kosten der LAG sowie Vorhaben zur Kompetenzentwicklung und Sensibilisierung in dem betreffenden Gebiet ist die Anerkennung als LAG.</w:t>
            </w:r>
          </w:p>
          <w:p w:rsidR="0098155B" w:rsidRPr="00DB15E3" w:rsidRDefault="0098155B" w:rsidP="007F6CB8">
            <w:pPr>
              <w:jc w:val="center"/>
              <w:rPr>
                <w:sz w:val="20"/>
                <w:szCs w:val="20"/>
              </w:rPr>
            </w:pPr>
          </w:p>
        </w:tc>
        <w:tc>
          <w:tcPr>
            <w:tcW w:w="850" w:type="dxa"/>
          </w:tcPr>
          <w:p w:rsidR="00487386" w:rsidRPr="009048C3" w:rsidRDefault="00487386" w:rsidP="002828A1">
            <w:pPr>
              <w:tabs>
                <w:tab w:val="left" w:pos="435"/>
                <w:tab w:val="center" w:pos="522"/>
              </w:tabs>
              <w:jc w:val="center"/>
              <w:rPr>
                <w:sz w:val="20"/>
                <w:szCs w:val="20"/>
              </w:rPr>
            </w:pPr>
          </w:p>
        </w:tc>
        <w:tc>
          <w:tcPr>
            <w:tcW w:w="1560" w:type="dxa"/>
            <w:vAlign w:val="center"/>
          </w:tcPr>
          <w:p w:rsidR="00487386" w:rsidRPr="009048C3" w:rsidRDefault="00487386" w:rsidP="0070730B">
            <w:pPr>
              <w:spacing w:before="60"/>
              <w:jc w:val="center"/>
              <w:rPr>
                <w:sz w:val="20"/>
                <w:szCs w:val="20"/>
              </w:rPr>
            </w:pPr>
            <w:r w:rsidRPr="009048C3">
              <w:rPr>
                <w:sz w:val="20"/>
                <w:szCs w:val="20"/>
              </w:rPr>
              <w:t>100 %</w:t>
            </w:r>
          </w:p>
          <w:p w:rsidR="00487386" w:rsidRPr="009048C3" w:rsidRDefault="00487386" w:rsidP="00487386">
            <w:pPr>
              <w:jc w:val="center"/>
              <w:rPr>
                <w:sz w:val="20"/>
                <w:szCs w:val="20"/>
              </w:rPr>
            </w:pPr>
          </w:p>
          <w:p w:rsidR="00487386" w:rsidRPr="009048C3" w:rsidRDefault="00487386" w:rsidP="00487386">
            <w:pPr>
              <w:jc w:val="center"/>
              <w:rPr>
                <w:sz w:val="20"/>
                <w:szCs w:val="20"/>
              </w:rPr>
            </w:pPr>
            <w:r w:rsidRPr="009048C3">
              <w:rPr>
                <w:sz w:val="20"/>
                <w:szCs w:val="20"/>
              </w:rPr>
              <w:t>vollständige Ablehnung</w:t>
            </w:r>
          </w:p>
          <w:p w:rsidR="00487386" w:rsidRPr="009048C3" w:rsidRDefault="00487386" w:rsidP="00487386">
            <w:pPr>
              <w:jc w:val="center"/>
              <w:rPr>
                <w:sz w:val="20"/>
                <w:szCs w:val="20"/>
              </w:rPr>
            </w:pPr>
            <w:r w:rsidRPr="009048C3">
              <w:rPr>
                <w:sz w:val="20"/>
                <w:szCs w:val="20"/>
              </w:rPr>
              <w:t xml:space="preserve">bzw. </w:t>
            </w:r>
          </w:p>
          <w:p w:rsidR="00487386" w:rsidRPr="009048C3" w:rsidRDefault="00EA320E" w:rsidP="00487386">
            <w:pPr>
              <w:jc w:val="center"/>
              <w:rPr>
                <w:sz w:val="20"/>
                <w:szCs w:val="20"/>
              </w:rPr>
            </w:pPr>
            <w:r>
              <w:rPr>
                <w:sz w:val="20"/>
                <w:szCs w:val="20"/>
              </w:rPr>
              <w:t>vollständige</w:t>
            </w:r>
          </w:p>
          <w:p w:rsidR="00487386" w:rsidRPr="009048C3" w:rsidRDefault="00EA320E" w:rsidP="0070730B">
            <w:pPr>
              <w:spacing w:after="60"/>
              <w:jc w:val="center"/>
              <w:rPr>
                <w:sz w:val="20"/>
                <w:szCs w:val="20"/>
              </w:rPr>
            </w:pPr>
            <w:r>
              <w:rPr>
                <w:sz w:val="20"/>
                <w:szCs w:val="20"/>
              </w:rPr>
              <w:t>Aufhebung</w:t>
            </w:r>
          </w:p>
        </w:tc>
      </w:tr>
    </w:tbl>
    <w:p w:rsidR="00E91333" w:rsidRDefault="00B07D10" w:rsidP="00E91333">
      <w:pPr>
        <w:pStyle w:val="Anschrift"/>
        <w:spacing w:before="160"/>
        <w:jc w:val="both"/>
        <w:rPr>
          <w:rFonts w:cs="Arial"/>
          <w:sz w:val="22"/>
          <w:szCs w:val="22"/>
        </w:rPr>
      </w:pPr>
      <w:r>
        <w:rPr>
          <w:rFonts w:cs="Arial"/>
          <w:sz w:val="22"/>
          <w:szCs w:val="22"/>
        </w:rPr>
        <w:lastRenderedPageBreak/>
        <w:t xml:space="preserve">Die einzelnen Anstriche innerhalb einer Kategorie gelten jeweils alternativ; liegen gleichzeitig mehrere Verstöße </w:t>
      </w:r>
      <w:r w:rsidR="00181440">
        <w:rPr>
          <w:rFonts w:cs="Arial"/>
          <w:sz w:val="22"/>
          <w:szCs w:val="22"/>
        </w:rPr>
        <w:t xml:space="preserve">gegen dieselbe Verpflichtung bzw. Auflage </w:t>
      </w:r>
      <w:r>
        <w:rPr>
          <w:rFonts w:cs="Arial"/>
          <w:sz w:val="22"/>
          <w:szCs w:val="22"/>
        </w:rPr>
        <w:t>vor, ist die Verwaltungssanktion in Höhe des schwersten Verstoßes festzusetzen.</w:t>
      </w:r>
    </w:p>
    <w:p w:rsidR="00B07D10" w:rsidRDefault="00596FD2" w:rsidP="00E91333">
      <w:pPr>
        <w:pStyle w:val="Anschrift"/>
        <w:jc w:val="both"/>
        <w:rPr>
          <w:rFonts w:cs="Arial"/>
          <w:sz w:val="22"/>
          <w:szCs w:val="22"/>
        </w:rPr>
      </w:pPr>
      <w:r>
        <w:rPr>
          <w:rFonts w:cs="Arial"/>
          <w:sz w:val="22"/>
          <w:szCs w:val="22"/>
        </w:rPr>
        <w:t xml:space="preserve">Wenn ein Verstoß als geringfügig zu bewerten ist (Kategorie 1: &lt; 3 %), ist der Begünstigte nur zu verwarnen; es ist keine Verwaltungssanktion auszusprechen. </w:t>
      </w:r>
    </w:p>
    <w:p w:rsidR="00751445" w:rsidRDefault="00751445" w:rsidP="00585004">
      <w:pPr>
        <w:pStyle w:val="Anschrift"/>
        <w:spacing w:before="120"/>
        <w:jc w:val="both"/>
        <w:rPr>
          <w:rFonts w:cs="Arial"/>
          <w:sz w:val="22"/>
          <w:szCs w:val="22"/>
        </w:rPr>
      </w:pPr>
    </w:p>
    <w:p w:rsidR="00646E42" w:rsidRDefault="00646E42" w:rsidP="00585004">
      <w:pPr>
        <w:pStyle w:val="Anschrift"/>
        <w:spacing w:before="120"/>
        <w:jc w:val="both"/>
        <w:rPr>
          <w:rFonts w:cs="Arial"/>
          <w:sz w:val="22"/>
          <w:szCs w:val="22"/>
        </w:rPr>
      </w:pPr>
    </w:p>
    <w:p w:rsidR="00751445" w:rsidRPr="00751445" w:rsidRDefault="00751445" w:rsidP="00751445">
      <w:pPr>
        <w:pStyle w:val="Anschrift"/>
        <w:numPr>
          <w:ilvl w:val="0"/>
          <w:numId w:val="10"/>
        </w:numPr>
        <w:spacing w:before="120"/>
        <w:rPr>
          <w:rFonts w:asciiTheme="minorHAnsi" w:hAnsiTheme="minorHAnsi" w:cs="Arial"/>
        </w:rPr>
      </w:pPr>
      <w:r>
        <w:rPr>
          <w:rFonts w:asciiTheme="minorHAnsi" w:hAnsiTheme="minorHAnsi" w:cs="Arial"/>
        </w:rPr>
        <w:t>Aussetzung der Förderung n</w:t>
      </w:r>
      <w:r w:rsidR="00BD70EC">
        <w:rPr>
          <w:rFonts w:asciiTheme="minorHAnsi" w:hAnsiTheme="minorHAnsi" w:cs="Arial"/>
        </w:rPr>
        <w:t>ach</w:t>
      </w:r>
      <w:r>
        <w:rPr>
          <w:rFonts w:asciiTheme="minorHAnsi" w:hAnsiTheme="minorHAnsi" w:cs="Arial"/>
        </w:rPr>
        <w:t xml:space="preserve"> A</w:t>
      </w:r>
      <w:r w:rsidRPr="00751445">
        <w:rPr>
          <w:rFonts w:asciiTheme="minorHAnsi" w:hAnsiTheme="minorHAnsi" w:cs="Arial"/>
        </w:rPr>
        <w:t>rt. 3</w:t>
      </w:r>
      <w:r>
        <w:rPr>
          <w:rFonts w:asciiTheme="minorHAnsi" w:hAnsiTheme="minorHAnsi" w:cs="Arial"/>
        </w:rPr>
        <w:t>6</w:t>
      </w:r>
      <w:r w:rsidRPr="00751445">
        <w:rPr>
          <w:rFonts w:asciiTheme="minorHAnsi" w:hAnsiTheme="minorHAnsi" w:cs="Arial"/>
        </w:rPr>
        <w:t xml:space="preserve"> VO (EU) Nr. 640/2014:</w:t>
      </w:r>
    </w:p>
    <w:p w:rsidR="00751445" w:rsidRDefault="00751445" w:rsidP="00751445">
      <w:pPr>
        <w:pStyle w:val="Anschrift"/>
        <w:spacing w:before="120"/>
        <w:jc w:val="both"/>
        <w:rPr>
          <w:rFonts w:cs="Arial"/>
          <w:sz w:val="22"/>
          <w:szCs w:val="22"/>
        </w:rPr>
      </w:pPr>
      <w:r>
        <w:rPr>
          <w:rFonts w:cs="Arial"/>
          <w:sz w:val="22"/>
          <w:szCs w:val="22"/>
        </w:rPr>
        <w:t>Die Bewilligungsstelle hat die Möglichkeit, die Förderung für bestimmte Ausgaben auszusetzen, wenn ein Verstoß, der zu einer Verwaltungssanktion führt, festgestellt wird.</w:t>
      </w:r>
    </w:p>
    <w:p w:rsidR="00751445" w:rsidRDefault="00751445" w:rsidP="00751445">
      <w:pPr>
        <w:pStyle w:val="Anschrift"/>
        <w:spacing w:before="120"/>
        <w:jc w:val="both"/>
        <w:rPr>
          <w:rFonts w:cs="Arial"/>
          <w:sz w:val="22"/>
          <w:szCs w:val="22"/>
        </w:rPr>
      </w:pPr>
      <w:r>
        <w:rPr>
          <w:rFonts w:cs="Arial"/>
          <w:sz w:val="22"/>
          <w:szCs w:val="22"/>
        </w:rPr>
        <w:t xml:space="preserve">Sie kann eine </w:t>
      </w:r>
      <w:r w:rsidRPr="0031568F">
        <w:rPr>
          <w:rFonts w:cs="Arial"/>
          <w:b/>
          <w:sz w:val="22"/>
          <w:szCs w:val="22"/>
        </w:rPr>
        <w:t>Nachbesserungsfrist von max. 3 Monaten</w:t>
      </w:r>
      <w:r>
        <w:rPr>
          <w:rFonts w:cs="Arial"/>
          <w:sz w:val="22"/>
          <w:szCs w:val="22"/>
        </w:rPr>
        <w:t xml:space="preserve"> einräumen. Voraussetzung ist, dass eine Nachbesserung überhaupt </w:t>
      </w:r>
      <w:r w:rsidRPr="00190585">
        <w:rPr>
          <w:rFonts w:cs="Arial"/>
          <w:sz w:val="22"/>
          <w:szCs w:val="22"/>
          <w:u w:val="single"/>
        </w:rPr>
        <w:t>und</w:t>
      </w:r>
      <w:r>
        <w:rPr>
          <w:rFonts w:cs="Arial"/>
          <w:sz w:val="22"/>
          <w:szCs w:val="22"/>
        </w:rPr>
        <w:t xml:space="preserve"> in der maximal möglich</w:t>
      </w:r>
      <w:r w:rsidR="00C72662">
        <w:rPr>
          <w:rFonts w:cs="Arial"/>
          <w:sz w:val="22"/>
          <w:szCs w:val="22"/>
        </w:rPr>
        <w:t>en</w:t>
      </w:r>
      <w:r>
        <w:rPr>
          <w:rFonts w:cs="Arial"/>
          <w:sz w:val="22"/>
          <w:szCs w:val="22"/>
        </w:rPr>
        <w:t xml:space="preserve"> Frist realisierbar ist</w:t>
      </w:r>
      <w:r w:rsidR="0031568F">
        <w:rPr>
          <w:rFonts w:cs="Arial"/>
          <w:sz w:val="22"/>
          <w:szCs w:val="22"/>
        </w:rPr>
        <w:t>, d.h. dass der Verstoß in einem kurzen Zeitraum behoben werden kann</w:t>
      </w:r>
      <w:r>
        <w:rPr>
          <w:rFonts w:cs="Arial"/>
          <w:sz w:val="22"/>
          <w:szCs w:val="22"/>
        </w:rPr>
        <w:t>.</w:t>
      </w:r>
    </w:p>
    <w:p w:rsidR="00596FD2" w:rsidRDefault="00596FD2" w:rsidP="00E86036">
      <w:pPr>
        <w:pStyle w:val="Anschrift"/>
        <w:spacing w:before="120" w:after="120"/>
        <w:jc w:val="both"/>
        <w:rPr>
          <w:rFonts w:cs="Arial"/>
          <w:sz w:val="22"/>
          <w:szCs w:val="22"/>
        </w:rPr>
      </w:pPr>
      <w:r>
        <w:rPr>
          <w:rFonts w:cs="Arial"/>
          <w:sz w:val="22"/>
          <w:szCs w:val="22"/>
        </w:rPr>
        <w:t>Wenn der Verstoß fristgerecht ordnungsgemäß abgestellt wird, ist über die vorübergehende Aussetzung der Förderung hinaus keine zusätzliche Verwaltungssanktion auszusprechen.</w:t>
      </w:r>
    </w:p>
    <w:p w:rsidR="008B4F75" w:rsidRPr="008B4F75" w:rsidRDefault="008B4F75" w:rsidP="00FD79C6">
      <w:pPr>
        <w:pStyle w:val="Anschrift"/>
        <w:spacing w:before="60"/>
        <w:jc w:val="both"/>
        <w:rPr>
          <w:rFonts w:cs="Arial"/>
          <w:sz w:val="22"/>
          <w:szCs w:val="22"/>
        </w:rPr>
      </w:pPr>
    </w:p>
    <w:p w:rsidR="00230A7E" w:rsidRDefault="00230A7E" w:rsidP="00FD79C6">
      <w:pPr>
        <w:pStyle w:val="Anschrift"/>
        <w:spacing w:before="60"/>
        <w:jc w:val="both"/>
        <w:rPr>
          <w:rFonts w:cs="Arial"/>
          <w:sz w:val="22"/>
          <w:szCs w:val="22"/>
        </w:rPr>
      </w:pPr>
    </w:p>
    <w:p w:rsidR="00E91333" w:rsidRPr="008B4F75" w:rsidRDefault="008B4F75" w:rsidP="008B4F75">
      <w:pPr>
        <w:pStyle w:val="Anschrift"/>
        <w:numPr>
          <w:ilvl w:val="0"/>
          <w:numId w:val="6"/>
        </w:numPr>
        <w:spacing w:before="120"/>
        <w:jc w:val="both"/>
        <w:rPr>
          <w:rFonts w:cs="Arial"/>
          <w:b/>
          <w:sz w:val="22"/>
          <w:szCs w:val="22"/>
        </w:rPr>
      </w:pPr>
      <w:r w:rsidRPr="008B4F75">
        <w:rPr>
          <w:rFonts w:cs="Arial"/>
          <w:b/>
          <w:sz w:val="22"/>
          <w:szCs w:val="22"/>
        </w:rPr>
        <w:t>Sanktion</w:t>
      </w:r>
      <w:r w:rsidR="0030188F">
        <w:rPr>
          <w:rFonts w:cs="Arial"/>
          <w:b/>
          <w:sz w:val="22"/>
          <w:szCs w:val="22"/>
        </w:rPr>
        <w:t>en</w:t>
      </w:r>
      <w:r w:rsidRPr="008B4F75">
        <w:rPr>
          <w:rFonts w:cs="Arial"/>
          <w:b/>
          <w:sz w:val="22"/>
          <w:szCs w:val="22"/>
        </w:rPr>
        <w:t xml:space="preserve"> nach Artikel 59 VO (EU) Nr. </w:t>
      </w:r>
      <w:r>
        <w:rPr>
          <w:rFonts w:cs="Arial"/>
          <w:b/>
          <w:sz w:val="22"/>
          <w:szCs w:val="22"/>
        </w:rPr>
        <w:t>1306/2013</w:t>
      </w:r>
      <w:r w:rsidR="00FD79C6">
        <w:rPr>
          <w:rFonts w:cs="Arial"/>
          <w:b/>
          <w:sz w:val="22"/>
          <w:szCs w:val="22"/>
        </w:rPr>
        <w:t xml:space="preserve"> für den Fall der VOK-Verhinderung durch den Begünstigten</w:t>
      </w:r>
    </w:p>
    <w:p w:rsidR="008B4F75" w:rsidRDefault="008B4F75" w:rsidP="008B4F75">
      <w:pPr>
        <w:pStyle w:val="Anschrift"/>
        <w:spacing w:before="120"/>
        <w:jc w:val="both"/>
        <w:rPr>
          <w:rFonts w:cs="Arial"/>
          <w:sz w:val="22"/>
          <w:szCs w:val="22"/>
        </w:rPr>
      </w:pPr>
    </w:p>
    <w:p w:rsidR="008B4F75" w:rsidRDefault="00E86036" w:rsidP="008B4F75">
      <w:pPr>
        <w:pStyle w:val="Anschrift"/>
        <w:spacing w:before="120"/>
        <w:jc w:val="both"/>
        <w:rPr>
          <w:rFonts w:cs="Arial"/>
          <w:sz w:val="22"/>
          <w:szCs w:val="22"/>
        </w:rPr>
      </w:pPr>
      <w:r>
        <w:rPr>
          <w:rFonts w:cs="Arial"/>
          <w:sz w:val="22"/>
          <w:szCs w:val="22"/>
        </w:rPr>
        <w:t>F</w:t>
      </w:r>
      <w:r w:rsidR="008B4F75">
        <w:rPr>
          <w:rFonts w:cs="Arial"/>
          <w:sz w:val="22"/>
          <w:szCs w:val="22"/>
        </w:rPr>
        <w:t xml:space="preserve">ür den </w:t>
      </w:r>
      <w:r w:rsidR="00F561FC">
        <w:rPr>
          <w:rFonts w:cs="Arial"/>
          <w:sz w:val="22"/>
          <w:szCs w:val="22"/>
        </w:rPr>
        <w:t>speziellen</w:t>
      </w:r>
      <w:r w:rsidR="00FD79C6">
        <w:rPr>
          <w:rFonts w:cs="Arial"/>
          <w:sz w:val="22"/>
          <w:szCs w:val="22"/>
        </w:rPr>
        <w:t xml:space="preserve"> </w:t>
      </w:r>
      <w:r w:rsidR="008B4F75">
        <w:rPr>
          <w:rFonts w:cs="Arial"/>
          <w:sz w:val="22"/>
          <w:szCs w:val="22"/>
        </w:rPr>
        <w:t xml:space="preserve">Fall, dass die Durchführung einer Vor-Ort-Kontrolle </w:t>
      </w:r>
      <w:r w:rsidR="00FD79C6">
        <w:rPr>
          <w:rFonts w:cs="Arial"/>
          <w:sz w:val="22"/>
          <w:szCs w:val="22"/>
        </w:rPr>
        <w:t xml:space="preserve">durch den Begünstigten oder seinen Vertreter </w:t>
      </w:r>
      <w:r w:rsidR="008B4F75">
        <w:rPr>
          <w:rFonts w:cs="Arial"/>
          <w:sz w:val="22"/>
          <w:szCs w:val="22"/>
        </w:rPr>
        <w:t xml:space="preserve">verhindert wird, </w:t>
      </w:r>
      <w:r>
        <w:rPr>
          <w:rFonts w:cs="Arial"/>
          <w:sz w:val="22"/>
          <w:szCs w:val="22"/>
        </w:rPr>
        <w:t xml:space="preserve">gibt Art. 59 Abs. 7 VO (EU) Nr. 1306/2013 als Rechtsfolge </w:t>
      </w:r>
      <w:r w:rsidR="008B4F75">
        <w:rPr>
          <w:rFonts w:cs="Arial"/>
          <w:sz w:val="22"/>
          <w:szCs w:val="22"/>
        </w:rPr>
        <w:t xml:space="preserve">die vollständige </w:t>
      </w:r>
      <w:r w:rsidR="00FD79C6">
        <w:rPr>
          <w:rFonts w:cs="Arial"/>
          <w:sz w:val="22"/>
          <w:szCs w:val="22"/>
        </w:rPr>
        <w:t>Ablehnung des Zahlungsantrages vor.</w:t>
      </w:r>
    </w:p>
    <w:p w:rsidR="00FD79C6" w:rsidRDefault="00FD79C6" w:rsidP="008B4F75">
      <w:pPr>
        <w:pStyle w:val="Anschrift"/>
        <w:spacing w:before="120"/>
        <w:jc w:val="both"/>
        <w:rPr>
          <w:rFonts w:cs="Arial"/>
          <w:sz w:val="22"/>
          <w:szCs w:val="22"/>
        </w:rPr>
      </w:pPr>
      <w:r>
        <w:rPr>
          <w:rFonts w:cs="Arial"/>
          <w:sz w:val="22"/>
          <w:szCs w:val="22"/>
        </w:rPr>
        <w:t>Der Zuwendungsbescheid ist vollständig aufzuheben</w:t>
      </w:r>
      <w:r w:rsidR="003F75F1">
        <w:rPr>
          <w:rFonts w:cs="Arial"/>
          <w:sz w:val="22"/>
          <w:szCs w:val="22"/>
        </w:rPr>
        <w:t>. S</w:t>
      </w:r>
      <w:r>
        <w:rPr>
          <w:rFonts w:cs="Arial"/>
          <w:sz w:val="22"/>
          <w:szCs w:val="22"/>
        </w:rPr>
        <w:t>ofern die Zuwendung oder Zuwe</w:t>
      </w:r>
      <w:r>
        <w:rPr>
          <w:rFonts w:cs="Arial"/>
          <w:sz w:val="22"/>
          <w:szCs w:val="22"/>
        </w:rPr>
        <w:t>n</w:t>
      </w:r>
      <w:r>
        <w:rPr>
          <w:rFonts w:cs="Arial"/>
          <w:sz w:val="22"/>
          <w:szCs w:val="22"/>
        </w:rPr>
        <w:t>dungsanteile bereits ausgezahlt wurden, sind diese vollständig zurückzufordern.</w:t>
      </w:r>
    </w:p>
    <w:p w:rsidR="003F75F1" w:rsidRDefault="003F75F1" w:rsidP="008B4F75">
      <w:pPr>
        <w:pStyle w:val="Anschrift"/>
        <w:spacing w:before="120"/>
        <w:jc w:val="both"/>
        <w:rPr>
          <w:rFonts w:cs="Arial"/>
          <w:sz w:val="22"/>
          <w:szCs w:val="22"/>
        </w:rPr>
      </w:pPr>
      <w:r>
        <w:rPr>
          <w:rFonts w:cs="Arial"/>
          <w:sz w:val="22"/>
          <w:szCs w:val="22"/>
        </w:rPr>
        <w:lastRenderedPageBreak/>
        <w:t>Unter den Begriff „Vor-Ort-Kontrollen“ sind hinsichtlich dieser Regelung auch</w:t>
      </w:r>
      <w:r w:rsidR="00532E6A">
        <w:rPr>
          <w:rFonts w:cs="Arial"/>
          <w:sz w:val="22"/>
          <w:szCs w:val="22"/>
        </w:rPr>
        <w:t xml:space="preserve"> die bei Investit</w:t>
      </w:r>
      <w:r w:rsidR="00532E6A">
        <w:rPr>
          <w:rFonts w:cs="Arial"/>
          <w:sz w:val="22"/>
          <w:szCs w:val="22"/>
        </w:rPr>
        <w:t>i</w:t>
      </w:r>
      <w:r w:rsidR="00532E6A">
        <w:rPr>
          <w:rFonts w:cs="Arial"/>
          <w:sz w:val="22"/>
          <w:szCs w:val="22"/>
        </w:rPr>
        <w:t xml:space="preserve">onsvorhaben </w:t>
      </w:r>
      <w:r w:rsidR="00F72823">
        <w:rPr>
          <w:rFonts w:cs="Arial"/>
          <w:sz w:val="22"/>
          <w:szCs w:val="22"/>
        </w:rPr>
        <w:t>ergänzend vorzunehmen</w:t>
      </w:r>
      <w:r w:rsidR="00532E6A">
        <w:rPr>
          <w:rFonts w:cs="Arial"/>
          <w:sz w:val="22"/>
          <w:szCs w:val="22"/>
        </w:rPr>
        <w:t>den</w:t>
      </w:r>
      <w:r>
        <w:rPr>
          <w:rFonts w:cs="Arial"/>
          <w:sz w:val="22"/>
          <w:szCs w:val="22"/>
        </w:rPr>
        <w:t xml:space="preserve"> Vor-Ort-Besichtigungen im Rahmen von Verwa</w:t>
      </w:r>
      <w:r>
        <w:rPr>
          <w:rFonts w:cs="Arial"/>
          <w:sz w:val="22"/>
          <w:szCs w:val="22"/>
        </w:rPr>
        <w:t>l</w:t>
      </w:r>
      <w:r>
        <w:rPr>
          <w:rFonts w:cs="Arial"/>
          <w:sz w:val="22"/>
          <w:szCs w:val="22"/>
        </w:rPr>
        <w:t xml:space="preserve">tungskontrollen nach Art. 48 Abs. 5 </w:t>
      </w:r>
      <w:r w:rsidR="00532E6A">
        <w:rPr>
          <w:rFonts w:cs="Arial"/>
          <w:sz w:val="22"/>
          <w:szCs w:val="22"/>
        </w:rPr>
        <w:t xml:space="preserve">VO (EU) Nr. 809/2014 </w:t>
      </w:r>
      <w:r>
        <w:rPr>
          <w:rFonts w:cs="Arial"/>
          <w:sz w:val="22"/>
          <w:szCs w:val="22"/>
        </w:rPr>
        <w:t>sowie Ex-post-Kontrollen nach Art. 52 VO (EU) Nr. 809/2014 zu subsummieren.</w:t>
      </w:r>
    </w:p>
    <w:p w:rsidR="00F72823" w:rsidRDefault="003F75F1" w:rsidP="003F75F1">
      <w:pPr>
        <w:pStyle w:val="Anschrift"/>
        <w:jc w:val="both"/>
        <w:rPr>
          <w:rFonts w:cs="Arial"/>
          <w:sz w:val="22"/>
          <w:szCs w:val="22"/>
        </w:rPr>
      </w:pPr>
      <w:r>
        <w:rPr>
          <w:rFonts w:cs="Arial"/>
          <w:sz w:val="22"/>
          <w:szCs w:val="22"/>
        </w:rPr>
        <w:t xml:space="preserve">Die v.g. Rechtsfolge der vollständigen Ablehnung tritt daher </w:t>
      </w:r>
      <w:r w:rsidR="00F72823">
        <w:rPr>
          <w:rFonts w:cs="Arial"/>
          <w:sz w:val="22"/>
          <w:szCs w:val="22"/>
        </w:rPr>
        <w:t xml:space="preserve">auch </w:t>
      </w:r>
      <w:r>
        <w:rPr>
          <w:rFonts w:cs="Arial"/>
          <w:sz w:val="22"/>
          <w:szCs w:val="22"/>
        </w:rPr>
        <w:t xml:space="preserve">ein, wenn </w:t>
      </w:r>
      <w:r w:rsidR="00532E6A">
        <w:rPr>
          <w:rFonts w:cs="Arial"/>
          <w:sz w:val="22"/>
          <w:szCs w:val="22"/>
        </w:rPr>
        <w:t>bei einem Investit</w:t>
      </w:r>
      <w:r w:rsidR="00532E6A">
        <w:rPr>
          <w:rFonts w:cs="Arial"/>
          <w:sz w:val="22"/>
          <w:szCs w:val="22"/>
        </w:rPr>
        <w:t>i</w:t>
      </w:r>
      <w:r w:rsidR="00532E6A">
        <w:rPr>
          <w:rFonts w:cs="Arial"/>
          <w:sz w:val="22"/>
          <w:szCs w:val="22"/>
        </w:rPr>
        <w:t xml:space="preserve">onsvorhaben </w:t>
      </w:r>
      <w:r>
        <w:rPr>
          <w:rFonts w:cs="Arial"/>
          <w:sz w:val="22"/>
          <w:szCs w:val="22"/>
        </w:rPr>
        <w:t>die Durchführung einer Vor-Ort-Besichtigung oder Ex-post-Kontrolle durch den Begünstigten verhindert wird.</w:t>
      </w:r>
      <w:r w:rsidR="00532E6A">
        <w:rPr>
          <w:rFonts w:cs="Arial"/>
          <w:sz w:val="22"/>
          <w:szCs w:val="22"/>
        </w:rPr>
        <w:t xml:space="preserve"> </w:t>
      </w:r>
    </w:p>
    <w:p w:rsidR="003F75F1" w:rsidRDefault="00F72823" w:rsidP="003F75F1">
      <w:pPr>
        <w:pStyle w:val="Anschrift"/>
        <w:jc w:val="both"/>
        <w:rPr>
          <w:rFonts w:cs="Arial"/>
          <w:sz w:val="22"/>
          <w:szCs w:val="22"/>
        </w:rPr>
      </w:pPr>
      <w:r>
        <w:rPr>
          <w:rFonts w:cs="Arial"/>
          <w:sz w:val="22"/>
          <w:szCs w:val="22"/>
        </w:rPr>
        <w:t xml:space="preserve">In allen v.g. Fällen der Verhinderung von Vor-Ort-Kontrollen </w:t>
      </w:r>
      <w:r w:rsidR="00532E6A">
        <w:rPr>
          <w:rFonts w:cs="Arial"/>
          <w:sz w:val="22"/>
          <w:szCs w:val="22"/>
        </w:rPr>
        <w:t>gilt, dass die Durchführung des genehmigten Fördervorhabens insgesamt und damit der Zuwendungszweck bzw. die Erre</w:t>
      </w:r>
      <w:r w:rsidR="00532E6A">
        <w:rPr>
          <w:rFonts w:cs="Arial"/>
          <w:sz w:val="22"/>
          <w:szCs w:val="22"/>
        </w:rPr>
        <w:t>i</w:t>
      </w:r>
      <w:r w:rsidR="00532E6A">
        <w:rPr>
          <w:rFonts w:cs="Arial"/>
          <w:sz w:val="22"/>
          <w:szCs w:val="22"/>
        </w:rPr>
        <w:t xml:space="preserve">chung des Zuwendungszieles nicht festgestellt und damit </w:t>
      </w:r>
      <w:r>
        <w:rPr>
          <w:rFonts w:cs="Arial"/>
          <w:sz w:val="22"/>
          <w:szCs w:val="22"/>
        </w:rPr>
        <w:t xml:space="preserve">nicht, wie erforderlich, </w:t>
      </w:r>
      <w:r w:rsidR="00532E6A">
        <w:rPr>
          <w:rFonts w:cs="Arial"/>
          <w:sz w:val="22"/>
          <w:szCs w:val="22"/>
        </w:rPr>
        <w:t>bestätigt we</w:t>
      </w:r>
      <w:r w:rsidR="00532E6A">
        <w:rPr>
          <w:rFonts w:cs="Arial"/>
          <w:sz w:val="22"/>
          <w:szCs w:val="22"/>
        </w:rPr>
        <w:t>r</w:t>
      </w:r>
      <w:r w:rsidR="00532E6A">
        <w:rPr>
          <w:rFonts w:cs="Arial"/>
          <w:sz w:val="22"/>
          <w:szCs w:val="22"/>
        </w:rPr>
        <w:t>den können.</w:t>
      </w:r>
    </w:p>
    <w:p w:rsidR="008B4F75" w:rsidRDefault="00FD79C6" w:rsidP="008B4F75">
      <w:pPr>
        <w:pStyle w:val="Anschrift"/>
        <w:spacing w:before="120"/>
        <w:jc w:val="both"/>
        <w:rPr>
          <w:rFonts w:cs="Arial"/>
          <w:sz w:val="22"/>
          <w:szCs w:val="22"/>
        </w:rPr>
      </w:pPr>
      <w:r>
        <w:rPr>
          <w:rFonts w:cs="Arial"/>
          <w:sz w:val="22"/>
          <w:szCs w:val="22"/>
        </w:rPr>
        <w:t>Ausgenommen sind Fälle höherer Gewalt oder bei Vorliegen außergewöhnlicher Umstände (siehe I.).</w:t>
      </w:r>
    </w:p>
    <w:sectPr w:rsidR="008B4F75" w:rsidSect="00355C78">
      <w:headerReference w:type="default" r:id="rId11"/>
      <w:footerReference w:type="default" r:id="rId12"/>
      <w:footerReference w:type="first" r:id="rId13"/>
      <w:pgSz w:w="11907" w:h="16840" w:code="9"/>
      <w:pgMar w:top="1361" w:right="1134" w:bottom="1701"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11CA" w:rsidRDefault="00EE11CA">
      <w:r>
        <w:separator/>
      </w:r>
    </w:p>
  </w:endnote>
  <w:endnote w:type="continuationSeparator" w:id="0">
    <w:p w:rsidR="00EE11CA" w:rsidRDefault="00EE11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665" w:rsidRPr="00224597" w:rsidRDefault="00630665" w:rsidP="00224597">
    <w:pPr>
      <w:pStyle w:val="Fuzeile"/>
      <w:jc w:val="center"/>
      <w:rPr>
        <w:color w:val="A6A6A6" w:themeColor="background1" w:themeShade="A6"/>
        <w:sz w:val="20"/>
        <w:szCs w:val="20"/>
      </w:rPr>
    </w:pPr>
    <w:r w:rsidRPr="00224597">
      <w:rPr>
        <w:color w:val="A6A6A6" w:themeColor="background1" w:themeShade="A6"/>
        <w:sz w:val="20"/>
        <w:szCs w:val="20"/>
      </w:rPr>
      <w:t>S</w:t>
    </w:r>
    <w:r w:rsidR="008F56F7">
      <w:rPr>
        <w:color w:val="A6A6A6" w:themeColor="background1" w:themeShade="A6"/>
        <w:sz w:val="20"/>
        <w:szCs w:val="20"/>
      </w:rPr>
      <w:t>tand: 07.11</w:t>
    </w:r>
    <w:r w:rsidRPr="00224597">
      <w:rPr>
        <w:color w:val="A6A6A6" w:themeColor="background1" w:themeShade="A6"/>
        <w:sz w:val="20"/>
        <w:szCs w:val="20"/>
      </w:rPr>
      <w:t>.201</w:t>
    </w:r>
    <w:r w:rsidR="008F56F7">
      <w:rPr>
        <w:color w:val="A6A6A6" w:themeColor="background1" w:themeShade="A6"/>
        <w:sz w:val="20"/>
        <w:szCs w:val="20"/>
      </w:rPr>
      <w:t>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665" w:rsidRPr="005369CB" w:rsidRDefault="00630665" w:rsidP="00FF3CD9">
    <w:pPr>
      <w:pStyle w:val="Fuzeile"/>
      <w:jc w:val="center"/>
      <w:rPr>
        <w:sz w:val="20"/>
        <w:szCs w:val="20"/>
      </w:rPr>
    </w:pPr>
    <w:r w:rsidRPr="005369CB">
      <w:rPr>
        <w:sz w:val="20"/>
        <w:szCs w:val="20"/>
      </w:rPr>
      <w:t>S</w:t>
    </w:r>
    <w:r w:rsidR="007F7D11" w:rsidRPr="005369CB">
      <w:rPr>
        <w:sz w:val="20"/>
        <w:szCs w:val="20"/>
      </w:rPr>
      <w:t xml:space="preserve">tand: </w:t>
    </w:r>
    <w:r w:rsidR="00807226">
      <w:rPr>
        <w:sz w:val="20"/>
        <w:szCs w:val="20"/>
      </w:rPr>
      <w:t>8.11.2017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11CA" w:rsidRDefault="00EE11CA">
      <w:r>
        <w:separator/>
      </w:r>
    </w:p>
  </w:footnote>
  <w:footnote w:type="continuationSeparator" w:id="0">
    <w:p w:rsidR="00EE11CA" w:rsidRDefault="00EE11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665" w:rsidRDefault="00630665">
    <w:pPr>
      <w:pStyle w:val="Kopfzeile"/>
      <w:jc w:val="center"/>
    </w:pPr>
    <w:r>
      <w:t xml:space="preserve">- </w:t>
    </w:r>
    <w:r>
      <w:rPr>
        <w:rStyle w:val="Seitenzahl"/>
      </w:rPr>
      <w:fldChar w:fldCharType="begin"/>
    </w:r>
    <w:r>
      <w:rPr>
        <w:rStyle w:val="Seitenzahl"/>
      </w:rPr>
      <w:instrText xml:space="preserve"> PAGE </w:instrText>
    </w:r>
    <w:r>
      <w:rPr>
        <w:rStyle w:val="Seitenzahl"/>
      </w:rPr>
      <w:fldChar w:fldCharType="separate"/>
    </w:r>
    <w:r w:rsidR="00772B58">
      <w:rPr>
        <w:rStyle w:val="Seitenzahl"/>
        <w:noProof/>
      </w:rPr>
      <w:t>2</w:t>
    </w:r>
    <w:r>
      <w:rPr>
        <w:rStyle w:val="Seitenzahl"/>
      </w:rPr>
      <w:fldChar w:fldCharType="end"/>
    </w:r>
    <w:r>
      <w:rPr>
        <w:rStyle w:val="Seitenzahl"/>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pPr>
        <w:ind w:left="0" w:firstLine="0"/>
      </w:pPr>
    </w:lvl>
  </w:abstractNum>
  <w:abstractNum w:abstractNumId="1">
    <w:nsid w:val="057208C2"/>
    <w:multiLevelType w:val="hybridMultilevel"/>
    <w:tmpl w:val="18001B6C"/>
    <w:lvl w:ilvl="0" w:tplc="F4E24C36">
      <w:start w:val="100"/>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nsid w:val="078D4B40"/>
    <w:multiLevelType w:val="hybridMultilevel"/>
    <w:tmpl w:val="EBD4EA96"/>
    <w:lvl w:ilvl="0" w:tplc="F8C08C04">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0E064026"/>
    <w:multiLevelType w:val="hybridMultilevel"/>
    <w:tmpl w:val="5F3CDD18"/>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0EC70F13"/>
    <w:multiLevelType w:val="hybridMultilevel"/>
    <w:tmpl w:val="E33ABBB4"/>
    <w:lvl w:ilvl="0" w:tplc="F4E24C36">
      <w:start w:val="10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13E4374E"/>
    <w:multiLevelType w:val="hybridMultilevel"/>
    <w:tmpl w:val="B60A21C2"/>
    <w:lvl w:ilvl="0" w:tplc="F4E24C36">
      <w:start w:val="10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189C45A8"/>
    <w:multiLevelType w:val="hybridMultilevel"/>
    <w:tmpl w:val="3486571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nsid w:val="18BD3103"/>
    <w:multiLevelType w:val="hybridMultilevel"/>
    <w:tmpl w:val="109EC2FA"/>
    <w:lvl w:ilvl="0" w:tplc="6FCA0A64">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nsid w:val="1A057856"/>
    <w:multiLevelType w:val="hybridMultilevel"/>
    <w:tmpl w:val="779E6A42"/>
    <w:lvl w:ilvl="0" w:tplc="F4E24C36">
      <w:start w:val="10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327E4C97"/>
    <w:multiLevelType w:val="hybridMultilevel"/>
    <w:tmpl w:val="1460F1FC"/>
    <w:lvl w:ilvl="0" w:tplc="F4E24C36">
      <w:start w:val="10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339943EE"/>
    <w:multiLevelType w:val="hybridMultilevel"/>
    <w:tmpl w:val="ECD0A144"/>
    <w:lvl w:ilvl="0" w:tplc="6FCA0A64">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nsid w:val="365A6568"/>
    <w:multiLevelType w:val="hybridMultilevel"/>
    <w:tmpl w:val="438CC0E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nsid w:val="3D232CDF"/>
    <w:multiLevelType w:val="hybridMultilevel"/>
    <w:tmpl w:val="6F24331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nsid w:val="4133754C"/>
    <w:multiLevelType w:val="hybridMultilevel"/>
    <w:tmpl w:val="E4DA180A"/>
    <w:lvl w:ilvl="0" w:tplc="F4E24C36">
      <w:start w:val="10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489F30D1"/>
    <w:multiLevelType w:val="hybridMultilevel"/>
    <w:tmpl w:val="23365048"/>
    <w:lvl w:ilvl="0" w:tplc="9A94CF08">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nsid w:val="49840711"/>
    <w:multiLevelType w:val="hybridMultilevel"/>
    <w:tmpl w:val="E548A112"/>
    <w:lvl w:ilvl="0" w:tplc="F4E24C36">
      <w:start w:val="100"/>
      <w:numFmt w:val="bullet"/>
      <w:lvlText w:val="-"/>
      <w:lvlJc w:val="left"/>
      <w:pPr>
        <w:ind w:left="792" w:hanging="360"/>
      </w:pPr>
      <w:rPr>
        <w:rFonts w:ascii="Arial" w:eastAsia="Times New Roman" w:hAnsi="Arial" w:cs="Arial" w:hint="default"/>
      </w:rPr>
    </w:lvl>
    <w:lvl w:ilvl="1" w:tplc="04070003" w:tentative="1">
      <w:start w:val="1"/>
      <w:numFmt w:val="bullet"/>
      <w:lvlText w:val="o"/>
      <w:lvlJc w:val="left"/>
      <w:pPr>
        <w:ind w:left="1512" w:hanging="360"/>
      </w:pPr>
      <w:rPr>
        <w:rFonts w:ascii="Courier New" w:hAnsi="Courier New" w:cs="Courier New" w:hint="default"/>
      </w:rPr>
    </w:lvl>
    <w:lvl w:ilvl="2" w:tplc="04070005" w:tentative="1">
      <w:start w:val="1"/>
      <w:numFmt w:val="bullet"/>
      <w:lvlText w:val=""/>
      <w:lvlJc w:val="left"/>
      <w:pPr>
        <w:ind w:left="2232" w:hanging="360"/>
      </w:pPr>
      <w:rPr>
        <w:rFonts w:ascii="Wingdings" w:hAnsi="Wingdings" w:hint="default"/>
      </w:rPr>
    </w:lvl>
    <w:lvl w:ilvl="3" w:tplc="04070001" w:tentative="1">
      <w:start w:val="1"/>
      <w:numFmt w:val="bullet"/>
      <w:lvlText w:val=""/>
      <w:lvlJc w:val="left"/>
      <w:pPr>
        <w:ind w:left="2952" w:hanging="360"/>
      </w:pPr>
      <w:rPr>
        <w:rFonts w:ascii="Symbol" w:hAnsi="Symbol" w:hint="default"/>
      </w:rPr>
    </w:lvl>
    <w:lvl w:ilvl="4" w:tplc="04070003" w:tentative="1">
      <w:start w:val="1"/>
      <w:numFmt w:val="bullet"/>
      <w:lvlText w:val="o"/>
      <w:lvlJc w:val="left"/>
      <w:pPr>
        <w:ind w:left="3672" w:hanging="360"/>
      </w:pPr>
      <w:rPr>
        <w:rFonts w:ascii="Courier New" w:hAnsi="Courier New" w:cs="Courier New" w:hint="default"/>
      </w:rPr>
    </w:lvl>
    <w:lvl w:ilvl="5" w:tplc="04070005" w:tentative="1">
      <w:start w:val="1"/>
      <w:numFmt w:val="bullet"/>
      <w:lvlText w:val=""/>
      <w:lvlJc w:val="left"/>
      <w:pPr>
        <w:ind w:left="4392" w:hanging="360"/>
      </w:pPr>
      <w:rPr>
        <w:rFonts w:ascii="Wingdings" w:hAnsi="Wingdings" w:hint="default"/>
      </w:rPr>
    </w:lvl>
    <w:lvl w:ilvl="6" w:tplc="04070001" w:tentative="1">
      <w:start w:val="1"/>
      <w:numFmt w:val="bullet"/>
      <w:lvlText w:val=""/>
      <w:lvlJc w:val="left"/>
      <w:pPr>
        <w:ind w:left="5112" w:hanging="360"/>
      </w:pPr>
      <w:rPr>
        <w:rFonts w:ascii="Symbol" w:hAnsi="Symbol" w:hint="default"/>
      </w:rPr>
    </w:lvl>
    <w:lvl w:ilvl="7" w:tplc="04070003" w:tentative="1">
      <w:start w:val="1"/>
      <w:numFmt w:val="bullet"/>
      <w:lvlText w:val="o"/>
      <w:lvlJc w:val="left"/>
      <w:pPr>
        <w:ind w:left="5832" w:hanging="360"/>
      </w:pPr>
      <w:rPr>
        <w:rFonts w:ascii="Courier New" w:hAnsi="Courier New" w:cs="Courier New" w:hint="default"/>
      </w:rPr>
    </w:lvl>
    <w:lvl w:ilvl="8" w:tplc="04070005" w:tentative="1">
      <w:start w:val="1"/>
      <w:numFmt w:val="bullet"/>
      <w:lvlText w:val=""/>
      <w:lvlJc w:val="left"/>
      <w:pPr>
        <w:ind w:left="6552" w:hanging="360"/>
      </w:pPr>
      <w:rPr>
        <w:rFonts w:ascii="Wingdings" w:hAnsi="Wingdings" w:hint="default"/>
      </w:rPr>
    </w:lvl>
  </w:abstractNum>
  <w:abstractNum w:abstractNumId="16">
    <w:nsid w:val="4AE910F0"/>
    <w:multiLevelType w:val="hybridMultilevel"/>
    <w:tmpl w:val="0D90BB4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nsid w:val="5CF57D5A"/>
    <w:multiLevelType w:val="hybridMultilevel"/>
    <w:tmpl w:val="ACA0F348"/>
    <w:lvl w:ilvl="0" w:tplc="F4E24C36">
      <w:start w:val="10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nsid w:val="655F472C"/>
    <w:multiLevelType w:val="hybridMultilevel"/>
    <w:tmpl w:val="E8EC5D2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nsid w:val="67532AF8"/>
    <w:multiLevelType w:val="hybridMultilevel"/>
    <w:tmpl w:val="6A5CD18E"/>
    <w:lvl w:ilvl="0" w:tplc="6FCA0A64">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nsid w:val="6C105E8D"/>
    <w:multiLevelType w:val="hybridMultilevel"/>
    <w:tmpl w:val="8A5458A8"/>
    <w:lvl w:ilvl="0" w:tplc="F8C08C04">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nsid w:val="7AAD0D8A"/>
    <w:multiLevelType w:val="hybridMultilevel"/>
    <w:tmpl w:val="C554D28C"/>
    <w:lvl w:ilvl="0" w:tplc="F4E24C36">
      <w:start w:val="10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1"/>
  </w:num>
  <w:num w:numId="2">
    <w:abstractNumId w:val="6"/>
  </w:num>
  <w:num w:numId="3">
    <w:abstractNumId w:val="18"/>
  </w:num>
  <w:num w:numId="4">
    <w:abstractNumId w:val="16"/>
  </w:num>
  <w:num w:numId="5">
    <w:abstractNumId w:val="14"/>
  </w:num>
  <w:num w:numId="6">
    <w:abstractNumId w:val="20"/>
  </w:num>
  <w:num w:numId="7">
    <w:abstractNumId w:val="19"/>
  </w:num>
  <w:num w:numId="8">
    <w:abstractNumId w:val="2"/>
  </w:num>
  <w:num w:numId="9">
    <w:abstractNumId w:val="7"/>
  </w:num>
  <w:num w:numId="10">
    <w:abstractNumId w:val="10"/>
  </w:num>
  <w:num w:numId="11">
    <w:abstractNumId w:val="3"/>
  </w:num>
  <w:num w:numId="12">
    <w:abstractNumId w:val="0"/>
    <w:lvlOverride w:ilvl="0">
      <w:lvl w:ilvl="0">
        <w:numFmt w:val="bullet"/>
        <w:lvlText w:val=""/>
        <w:legacy w:legacy="1" w:legacySpace="0" w:legacyIndent="340"/>
        <w:lvlJc w:val="left"/>
        <w:pPr>
          <w:ind w:left="340" w:hanging="340"/>
        </w:pPr>
        <w:rPr>
          <w:rFonts w:ascii="Symbol" w:hAnsi="Symbol" w:hint="default"/>
        </w:rPr>
      </w:lvl>
    </w:lvlOverride>
  </w:num>
  <w:num w:numId="13">
    <w:abstractNumId w:val="1"/>
  </w:num>
  <w:num w:numId="14">
    <w:abstractNumId w:val="12"/>
  </w:num>
  <w:num w:numId="15">
    <w:abstractNumId w:val="15"/>
  </w:num>
  <w:num w:numId="16">
    <w:abstractNumId w:val="4"/>
  </w:num>
  <w:num w:numId="17">
    <w:abstractNumId w:val="9"/>
  </w:num>
  <w:num w:numId="18">
    <w:abstractNumId w:val="17"/>
  </w:num>
  <w:num w:numId="19">
    <w:abstractNumId w:val="13"/>
  </w:num>
  <w:num w:numId="20">
    <w:abstractNumId w:val="8"/>
  </w:num>
  <w:num w:numId="21">
    <w:abstractNumId w:val="5"/>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DC1"/>
    <w:rsid w:val="00004C12"/>
    <w:rsid w:val="00006FB8"/>
    <w:rsid w:val="00007A0B"/>
    <w:rsid w:val="000127D3"/>
    <w:rsid w:val="000128B2"/>
    <w:rsid w:val="00034F9A"/>
    <w:rsid w:val="00080B35"/>
    <w:rsid w:val="000B35AA"/>
    <w:rsid w:val="000B47F8"/>
    <w:rsid w:val="000C6B65"/>
    <w:rsid w:val="000E5A94"/>
    <w:rsid w:val="001076FD"/>
    <w:rsid w:val="00124EFE"/>
    <w:rsid w:val="00124F69"/>
    <w:rsid w:val="0013400A"/>
    <w:rsid w:val="00135EA8"/>
    <w:rsid w:val="0015074C"/>
    <w:rsid w:val="001577B0"/>
    <w:rsid w:val="001610DD"/>
    <w:rsid w:val="001618BB"/>
    <w:rsid w:val="001633FF"/>
    <w:rsid w:val="00181440"/>
    <w:rsid w:val="0018477F"/>
    <w:rsid w:val="00190585"/>
    <w:rsid w:val="0019586D"/>
    <w:rsid w:val="001B40AA"/>
    <w:rsid w:val="001D0514"/>
    <w:rsid w:val="001D0E41"/>
    <w:rsid w:val="001F1065"/>
    <w:rsid w:val="001F1EE8"/>
    <w:rsid w:val="001F514A"/>
    <w:rsid w:val="00202AC8"/>
    <w:rsid w:val="00203482"/>
    <w:rsid w:val="0020647D"/>
    <w:rsid w:val="002079D3"/>
    <w:rsid w:val="0021780D"/>
    <w:rsid w:val="00217DC1"/>
    <w:rsid w:val="00223C94"/>
    <w:rsid w:val="00224597"/>
    <w:rsid w:val="00230A7E"/>
    <w:rsid w:val="002314DF"/>
    <w:rsid w:val="002319CB"/>
    <w:rsid w:val="002457C4"/>
    <w:rsid w:val="00254CC5"/>
    <w:rsid w:val="00255997"/>
    <w:rsid w:val="002568DC"/>
    <w:rsid w:val="002672B3"/>
    <w:rsid w:val="002706AE"/>
    <w:rsid w:val="002828A1"/>
    <w:rsid w:val="00285156"/>
    <w:rsid w:val="0029559D"/>
    <w:rsid w:val="00296DE9"/>
    <w:rsid w:val="002B6E15"/>
    <w:rsid w:val="002B7749"/>
    <w:rsid w:val="002C61B8"/>
    <w:rsid w:val="002D373E"/>
    <w:rsid w:val="002D41EF"/>
    <w:rsid w:val="002E1BA1"/>
    <w:rsid w:val="0030030D"/>
    <w:rsid w:val="0030188F"/>
    <w:rsid w:val="0031568F"/>
    <w:rsid w:val="00324E22"/>
    <w:rsid w:val="003300F0"/>
    <w:rsid w:val="00333C01"/>
    <w:rsid w:val="00355C78"/>
    <w:rsid w:val="00365EB1"/>
    <w:rsid w:val="00375D6B"/>
    <w:rsid w:val="00380E45"/>
    <w:rsid w:val="003B3EC0"/>
    <w:rsid w:val="003C3605"/>
    <w:rsid w:val="003C774E"/>
    <w:rsid w:val="003E05F6"/>
    <w:rsid w:val="003E35B7"/>
    <w:rsid w:val="003F2736"/>
    <w:rsid w:val="003F75F1"/>
    <w:rsid w:val="004043F4"/>
    <w:rsid w:val="004222E1"/>
    <w:rsid w:val="004257CC"/>
    <w:rsid w:val="00435659"/>
    <w:rsid w:val="00441606"/>
    <w:rsid w:val="00441A1D"/>
    <w:rsid w:val="004829C9"/>
    <w:rsid w:val="004870C6"/>
    <w:rsid w:val="00487386"/>
    <w:rsid w:val="004C20A1"/>
    <w:rsid w:val="004D209F"/>
    <w:rsid w:val="004E5CB6"/>
    <w:rsid w:val="00502BEF"/>
    <w:rsid w:val="00530494"/>
    <w:rsid w:val="00532E6A"/>
    <w:rsid w:val="005369CB"/>
    <w:rsid w:val="00540CF7"/>
    <w:rsid w:val="0055376E"/>
    <w:rsid w:val="00556B8A"/>
    <w:rsid w:val="005753FD"/>
    <w:rsid w:val="005828D8"/>
    <w:rsid w:val="00585004"/>
    <w:rsid w:val="00596FD2"/>
    <w:rsid w:val="005B1346"/>
    <w:rsid w:val="005B62C5"/>
    <w:rsid w:val="005D1E65"/>
    <w:rsid w:val="005D4C36"/>
    <w:rsid w:val="005D58CE"/>
    <w:rsid w:val="0062040A"/>
    <w:rsid w:val="00630665"/>
    <w:rsid w:val="00646E42"/>
    <w:rsid w:val="00647607"/>
    <w:rsid w:val="0066432E"/>
    <w:rsid w:val="0067105F"/>
    <w:rsid w:val="00675B06"/>
    <w:rsid w:val="00686B11"/>
    <w:rsid w:val="00690C64"/>
    <w:rsid w:val="00691924"/>
    <w:rsid w:val="006A2806"/>
    <w:rsid w:val="006C0436"/>
    <w:rsid w:val="006C115D"/>
    <w:rsid w:val="006D22A9"/>
    <w:rsid w:val="006D43D2"/>
    <w:rsid w:val="00700A92"/>
    <w:rsid w:val="0070730B"/>
    <w:rsid w:val="00712735"/>
    <w:rsid w:val="007273E1"/>
    <w:rsid w:val="0073356B"/>
    <w:rsid w:val="00745643"/>
    <w:rsid w:val="00751445"/>
    <w:rsid w:val="007613E5"/>
    <w:rsid w:val="00772B58"/>
    <w:rsid w:val="00775D94"/>
    <w:rsid w:val="00791A82"/>
    <w:rsid w:val="00797136"/>
    <w:rsid w:val="007A090C"/>
    <w:rsid w:val="007B0C35"/>
    <w:rsid w:val="007B4C2E"/>
    <w:rsid w:val="007C5529"/>
    <w:rsid w:val="007D2DD1"/>
    <w:rsid w:val="007E3A8C"/>
    <w:rsid w:val="007F6CB8"/>
    <w:rsid w:val="007F7D11"/>
    <w:rsid w:val="0080003A"/>
    <w:rsid w:val="00807226"/>
    <w:rsid w:val="00807E8C"/>
    <w:rsid w:val="00816358"/>
    <w:rsid w:val="008230AA"/>
    <w:rsid w:val="00827F79"/>
    <w:rsid w:val="00832691"/>
    <w:rsid w:val="008328D1"/>
    <w:rsid w:val="00833BE6"/>
    <w:rsid w:val="00836194"/>
    <w:rsid w:val="008368B6"/>
    <w:rsid w:val="00836E80"/>
    <w:rsid w:val="00872417"/>
    <w:rsid w:val="008A45C1"/>
    <w:rsid w:val="008B4F75"/>
    <w:rsid w:val="008B5B14"/>
    <w:rsid w:val="008C16D1"/>
    <w:rsid w:val="008C4F8E"/>
    <w:rsid w:val="008D0BDC"/>
    <w:rsid w:val="008E1DB1"/>
    <w:rsid w:val="008E32B5"/>
    <w:rsid w:val="008F56F7"/>
    <w:rsid w:val="008F67BA"/>
    <w:rsid w:val="00903DF8"/>
    <w:rsid w:val="009048C3"/>
    <w:rsid w:val="009604AB"/>
    <w:rsid w:val="009621CD"/>
    <w:rsid w:val="009740AF"/>
    <w:rsid w:val="009773BC"/>
    <w:rsid w:val="0098155B"/>
    <w:rsid w:val="00986F6B"/>
    <w:rsid w:val="009900A4"/>
    <w:rsid w:val="00996F48"/>
    <w:rsid w:val="009A38D8"/>
    <w:rsid w:val="009D73E0"/>
    <w:rsid w:val="009D7706"/>
    <w:rsid w:val="009D7EF8"/>
    <w:rsid w:val="009F6934"/>
    <w:rsid w:val="00A01D9B"/>
    <w:rsid w:val="00A228C4"/>
    <w:rsid w:val="00A35E62"/>
    <w:rsid w:val="00A6211F"/>
    <w:rsid w:val="00A63C70"/>
    <w:rsid w:val="00A70DB1"/>
    <w:rsid w:val="00A914E7"/>
    <w:rsid w:val="00A91840"/>
    <w:rsid w:val="00AA336C"/>
    <w:rsid w:val="00AA583E"/>
    <w:rsid w:val="00AC1E5F"/>
    <w:rsid w:val="00AD440A"/>
    <w:rsid w:val="00AD66A7"/>
    <w:rsid w:val="00AF74D5"/>
    <w:rsid w:val="00B02EBC"/>
    <w:rsid w:val="00B03D12"/>
    <w:rsid w:val="00B07D10"/>
    <w:rsid w:val="00B10A3B"/>
    <w:rsid w:val="00B15F7B"/>
    <w:rsid w:val="00B22DCF"/>
    <w:rsid w:val="00B26A67"/>
    <w:rsid w:val="00B3335A"/>
    <w:rsid w:val="00B468AF"/>
    <w:rsid w:val="00B65ACE"/>
    <w:rsid w:val="00B90DEB"/>
    <w:rsid w:val="00B94293"/>
    <w:rsid w:val="00B96756"/>
    <w:rsid w:val="00B9757A"/>
    <w:rsid w:val="00BD02FA"/>
    <w:rsid w:val="00BD70EC"/>
    <w:rsid w:val="00BF4274"/>
    <w:rsid w:val="00C173DF"/>
    <w:rsid w:val="00C23294"/>
    <w:rsid w:val="00C31CDC"/>
    <w:rsid w:val="00C413E2"/>
    <w:rsid w:val="00C52BDF"/>
    <w:rsid w:val="00C72662"/>
    <w:rsid w:val="00C74F72"/>
    <w:rsid w:val="00C963F4"/>
    <w:rsid w:val="00CB1B51"/>
    <w:rsid w:val="00CC30B0"/>
    <w:rsid w:val="00CC7AEB"/>
    <w:rsid w:val="00CE0E66"/>
    <w:rsid w:val="00CE2847"/>
    <w:rsid w:val="00CE34D4"/>
    <w:rsid w:val="00CE5732"/>
    <w:rsid w:val="00CE647A"/>
    <w:rsid w:val="00CF5B26"/>
    <w:rsid w:val="00CF6D9E"/>
    <w:rsid w:val="00CF7324"/>
    <w:rsid w:val="00D032EB"/>
    <w:rsid w:val="00D23E5F"/>
    <w:rsid w:val="00D31254"/>
    <w:rsid w:val="00D3517C"/>
    <w:rsid w:val="00D3713E"/>
    <w:rsid w:val="00D46E53"/>
    <w:rsid w:val="00D508A9"/>
    <w:rsid w:val="00D536C4"/>
    <w:rsid w:val="00D63EF1"/>
    <w:rsid w:val="00D9476A"/>
    <w:rsid w:val="00D95934"/>
    <w:rsid w:val="00D972AF"/>
    <w:rsid w:val="00DB15E3"/>
    <w:rsid w:val="00DC4692"/>
    <w:rsid w:val="00DD782C"/>
    <w:rsid w:val="00E01402"/>
    <w:rsid w:val="00E05082"/>
    <w:rsid w:val="00E13D5D"/>
    <w:rsid w:val="00E239AF"/>
    <w:rsid w:val="00E27874"/>
    <w:rsid w:val="00E31792"/>
    <w:rsid w:val="00E45D79"/>
    <w:rsid w:val="00E466ED"/>
    <w:rsid w:val="00E718BD"/>
    <w:rsid w:val="00E72625"/>
    <w:rsid w:val="00E86036"/>
    <w:rsid w:val="00E912FB"/>
    <w:rsid w:val="00E91333"/>
    <w:rsid w:val="00EA06AC"/>
    <w:rsid w:val="00EA320E"/>
    <w:rsid w:val="00EE11CA"/>
    <w:rsid w:val="00EF0842"/>
    <w:rsid w:val="00EF1341"/>
    <w:rsid w:val="00EF1ECD"/>
    <w:rsid w:val="00F174B1"/>
    <w:rsid w:val="00F17C45"/>
    <w:rsid w:val="00F27BA5"/>
    <w:rsid w:val="00F55152"/>
    <w:rsid w:val="00F555A3"/>
    <w:rsid w:val="00F561FC"/>
    <w:rsid w:val="00F72823"/>
    <w:rsid w:val="00F85C55"/>
    <w:rsid w:val="00FB3F8C"/>
    <w:rsid w:val="00FB5876"/>
    <w:rsid w:val="00FB5C9A"/>
    <w:rsid w:val="00FD79C6"/>
    <w:rsid w:val="00FF3CD9"/>
    <w:rsid w:val="00FF616F"/>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C4692"/>
    <w:rPr>
      <w:rFonts w:ascii="Arial" w:hAnsi="Arial"/>
      <w:sz w:val="24"/>
      <w:szCs w:val="24"/>
      <w:lang w:eastAsia="de-DE"/>
    </w:rPr>
  </w:style>
  <w:style w:type="paragraph" w:styleId="berschrift1">
    <w:name w:val="heading 1"/>
    <w:basedOn w:val="Standard"/>
    <w:next w:val="Standard"/>
    <w:qFormat/>
    <w:pPr>
      <w:keepNext/>
      <w:spacing w:before="240" w:after="60"/>
      <w:outlineLvl w:val="0"/>
    </w:pPr>
    <w:rPr>
      <w:b/>
      <w:kern w:val="28"/>
      <w:sz w:val="28"/>
    </w:rPr>
  </w:style>
  <w:style w:type="paragraph" w:styleId="berschrift2">
    <w:name w:val="heading 2"/>
    <w:basedOn w:val="Standard"/>
    <w:next w:val="Standard"/>
    <w:qFormat/>
    <w:pPr>
      <w:keepNext/>
      <w:spacing w:before="240" w:after="60"/>
      <w:outlineLvl w:val="1"/>
    </w:pPr>
    <w:rPr>
      <w:b/>
      <w:i/>
    </w:rPr>
  </w:style>
  <w:style w:type="paragraph" w:styleId="berschrift3">
    <w:name w:val="heading 3"/>
    <w:basedOn w:val="Standard"/>
    <w:next w:val="Standard"/>
    <w:qFormat/>
    <w:pPr>
      <w:keepNext/>
      <w:spacing w:before="240" w:after="60"/>
      <w:outlineLvl w:val="2"/>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rPr>
      <w:rFonts w:ascii="Arial" w:hAnsi="Arial"/>
      <w:sz w:val="24"/>
    </w:rPr>
  </w:style>
  <w:style w:type="paragraph" w:customStyle="1" w:styleId="Verborgen">
    <w:name w:val="Verborgen"/>
    <w:basedOn w:val="Standard"/>
    <w:rsid w:val="00E13D5D"/>
    <w:pPr>
      <w:tabs>
        <w:tab w:val="left" w:pos="0"/>
      </w:tabs>
      <w:ind w:left="-284"/>
    </w:pPr>
    <w:rPr>
      <w:vanish/>
      <w:color w:val="0000FF"/>
      <w:sz w:val="20"/>
    </w:rPr>
  </w:style>
  <w:style w:type="paragraph" w:customStyle="1" w:styleId="Text">
    <w:name w:val="Text"/>
    <w:basedOn w:val="Standard"/>
  </w:style>
  <w:style w:type="paragraph" w:customStyle="1" w:styleId="Anschrift">
    <w:name w:val="Anschrift"/>
    <w:basedOn w:val="Text"/>
  </w:style>
  <w:style w:type="paragraph" w:customStyle="1" w:styleId="Betreff">
    <w:name w:val="Betreff"/>
    <w:basedOn w:val="Text"/>
    <w:rPr>
      <w:b/>
    </w:rPr>
  </w:style>
  <w:style w:type="paragraph" w:customStyle="1" w:styleId="Boller">
    <w:name w:val="Boller"/>
    <w:basedOn w:val="Text"/>
    <w:pPr>
      <w:ind w:left="284" w:hanging="284"/>
    </w:pPr>
  </w:style>
  <w:style w:type="paragraph" w:customStyle="1" w:styleId="Spiegelstrich">
    <w:name w:val="Spiegelstrich"/>
    <w:basedOn w:val="Text"/>
    <w:pPr>
      <w:ind w:left="283" w:hanging="283"/>
    </w:pPr>
  </w:style>
  <w:style w:type="paragraph" w:customStyle="1" w:styleId="Num1">
    <w:name w:val="Num.1."/>
    <w:basedOn w:val="Text"/>
    <w:pPr>
      <w:ind w:left="283" w:hanging="283"/>
    </w:pPr>
  </w:style>
  <w:style w:type="paragraph" w:customStyle="1" w:styleId="Num10">
    <w:name w:val="Num.1)"/>
    <w:basedOn w:val="Text"/>
    <w:pPr>
      <w:ind w:left="283" w:hanging="283"/>
    </w:pPr>
  </w:style>
  <w:style w:type="paragraph" w:customStyle="1" w:styleId="Num11">
    <w:name w:val="Num.(1)"/>
    <w:basedOn w:val="Text"/>
    <w:pPr>
      <w:ind w:left="397" w:hanging="397"/>
    </w:pPr>
  </w:style>
  <w:style w:type="paragraph" w:customStyle="1" w:styleId="NumI">
    <w:name w:val="Num.I."/>
    <w:basedOn w:val="Text"/>
    <w:pPr>
      <w:ind w:left="283" w:hanging="283"/>
    </w:pPr>
  </w:style>
  <w:style w:type="paragraph" w:customStyle="1" w:styleId="NumA">
    <w:name w:val="Num.A)"/>
    <w:basedOn w:val="Num1"/>
    <w:pPr>
      <w:ind w:left="340" w:hanging="340"/>
    </w:pPr>
  </w:style>
  <w:style w:type="paragraph" w:customStyle="1" w:styleId="Numa0">
    <w:name w:val="Num.a)"/>
    <w:basedOn w:val="NumA"/>
  </w:style>
  <w:style w:type="character" w:styleId="Kommentarzeichen">
    <w:name w:val="annotation reference"/>
    <w:basedOn w:val="Absatz-Standardschriftart"/>
    <w:uiPriority w:val="99"/>
    <w:semiHidden/>
    <w:unhideWhenUsed/>
    <w:rsid w:val="0029559D"/>
    <w:rPr>
      <w:sz w:val="16"/>
      <w:szCs w:val="16"/>
    </w:rPr>
  </w:style>
  <w:style w:type="paragraph" w:styleId="Kommentartext">
    <w:name w:val="annotation text"/>
    <w:basedOn w:val="Standard"/>
    <w:link w:val="KommentartextZchn"/>
    <w:uiPriority w:val="99"/>
    <w:semiHidden/>
    <w:unhideWhenUsed/>
    <w:rsid w:val="0029559D"/>
    <w:rPr>
      <w:sz w:val="20"/>
      <w:szCs w:val="20"/>
    </w:rPr>
  </w:style>
  <w:style w:type="character" w:customStyle="1" w:styleId="KommentartextZchn">
    <w:name w:val="Kommentartext Zchn"/>
    <w:basedOn w:val="Absatz-Standardschriftart"/>
    <w:link w:val="Kommentartext"/>
    <w:uiPriority w:val="99"/>
    <w:semiHidden/>
    <w:rsid w:val="0029559D"/>
    <w:rPr>
      <w:rFonts w:ascii="Arial" w:hAnsi="Arial"/>
      <w:lang w:eastAsia="de-DE"/>
    </w:rPr>
  </w:style>
  <w:style w:type="paragraph" w:styleId="Kommentarthema">
    <w:name w:val="annotation subject"/>
    <w:basedOn w:val="Kommentartext"/>
    <w:next w:val="Kommentartext"/>
    <w:link w:val="KommentarthemaZchn"/>
    <w:uiPriority w:val="99"/>
    <w:semiHidden/>
    <w:unhideWhenUsed/>
    <w:rsid w:val="0029559D"/>
    <w:rPr>
      <w:b/>
      <w:bCs/>
    </w:rPr>
  </w:style>
  <w:style w:type="character" w:customStyle="1" w:styleId="KommentarthemaZchn">
    <w:name w:val="Kommentarthema Zchn"/>
    <w:basedOn w:val="KommentartextZchn"/>
    <w:link w:val="Kommentarthema"/>
    <w:uiPriority w:val="99"/>
    <w:semiHidden/>
    <w:rsid w:val="0029559D"/>
    <w:rPr>
      <w:rFonts w:ascii="Arial" w:hAnsi="Arial"/>
      <w:b/>
      <w:bCs/>
      <w:lang w:eastAsia="de-DE"/>
    </w:rPr>
  </w:style>
  <w:style w:type="paragraph" w:styleId="Sprechblasentext">
    <w:name w:val="Balloon Text"/>
    <w:basedOn w:val="Standard"/>
    <w:link w:val="SprechblasentextZchn"/>
    <w:uiPriority w:val="99"/>
    <w:semiHidden/>
    <w:unhideWhenUsed/>
    <w:rsid w:val="0029559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9559D"/>
    <w:rPr>
      <w:rFonts w:ascii="Tahoma" w:hAnsi="Tahoma" w:cs="Tahoma"/>
      <w:sz w:val="16"/>
      <w:szCs w:val="16"/>
      <w:lang w:eastAsia="de-DE"/>
    </w:rPr>
  </w:style>
  <w:style w:type="paragraph" w:styleId="Listenabsatz">
    <w:name w:val="List Paragraph"/>
    <w:basedOn w:val="Standard"/>
    <w:uiPriority w:val="34"/>
    <w:qFormat/>
    <w:rsid w:val="007273E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C4692"/>
    <w:rPr>
      <w:rFonts w:ascii="Arial" w:hAnsi="Arial"/>
      <w:sz w:val="24"/>
      <w:szCs w:val="24"/>
      <w:lang w:eastAsia="de-DE"/>
    </w:rPr>
  </w:style>
  <w:style w:type="paragraph" w:styleId="berschrift1">
    <w:name w:val="heading 1"/>
    <w:basedOn w:val="Standard"/>
    <w:next w:val="Standard"/>
    <w:qFormat/>
    <w:pPr>
      <w:keepNext/>
      <w:spacing w:before="240" w:after="60"/>
      <w:outlineLvl w:val="0"/>
    </w:pPr>
    <w:rPr>
      <w:b/>
      <w:kern w:val="28"/>
      <w:sz w:val="28"/>
    </w:rPr>
  </w:style>
  <w:style w:type="paragraph" w:styleId="berschrift2">
    <w:name w:val="heading 2"/>
    <w:basedOn w:val="Standard"/>
    <w:next w:val="Standard"/>
    <w:qFormat/>
    <w:pPr>
      <w:keepNext/>
      <w:spacing w:before="240" w:after="60"/>
      <w:outlineLvl w:val="1"/>
    </w:pPr>
    <w:rPr>
      <w:b/>
      <w:i/>
    </w:rPr>
  </w:style>
  <w:style w:type="paragraph" w:styleId="berschrift3">
    <w:name w:val="heading 3"/>
    <w:basedOn w:val="Standard"/>
    <w:next w:val="Standard"/>
    <w:qFormat/>
    <w:pPr>
      <w:keepNext/>
      <w:spacing w:before="240" w:after="60"/>
      <w:outlineLvl w:val="2"/>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rPr>
      <w:rFonts w:ascii="Arial" w:hAnsi="Arial"/>
      <w:sz w:val="24"/>
    </w:rPr>
  </w:style>
  <w:style w:type="paragraph" w:customStyle="1" w:styleId="Verborgen">
    <w:name w:val="Verborgen"/>
    <w:basedOn w:val="Standard"/>
    <w:rsid w:val="00E13D5D"/>
    <w:pPr>
      <w:tabs>
        <w:tab w:val="left" w:pos="0"/>
      </w:tabs>
      <w:ind w:left="-284"/>
    </w:pPr>
    <w:rPr>
      <w:vanish/>
      <w:color w:val="0000FF"/>
      <w:sz w:val="20"/>
    </w:rPr>
  </w:style>
  <w:style w:type="paragraph" w:customStyle="1" w:styleId="Text">
    <w:name w:val="Text"/>
    <w:basedOn w:val="Standard"/>
  </w:style>
  <w:style w:type="paragraph" w:customStyle="1" w:styleId="Anschrift">
    <w:name w:val="Anschrift"/>
    <w:basedOn w:val="Text"/>
  </w:style>
  <w:style w:type="paragraph" w:customStyle="1" w:styleId="Betreff">
    <w:name w:val="Betreff"/>
    <w:basedOn w:val="Text"/>
    <w:rPr>
      <w:b/>
    </w:rPr>
  </w:style>
  <w:style w:type="paragraph" w:customStyle="1" w:styleId="Boller">
    <w:name w:val="Boller"/>
    <w:basedOn w:val="Text"/>
    <w:pPr>
      <w:ind w:left="284" w:hanging="284"/>
    </w:pPr>
  </w:style>
  <w:style w:type="paragraph" w:customStyle="1" w:styleId="Spiegelstrich">
    <w:name w:val="Spiegelstrich"/>
    <w:basedOn w:val="Text"/>
    <w:pPr>
      <w:ind w:left="283" w:hanging="283"/>
    </w:pPr>
  </w:style>
  <w:style w:type="paragraph" w:customStyle="1" w:styleId="Num1">
    <w:name w:val="Num.1."/>
    <w:basedOn w:val="Text"/>
    <w:pPr>
      <w:ind w:left="283" w:hanging="283"/>
    </w:pPr>
  </w:style>
  <w:style w:type="paragraph" w:customStyle="1" w:styleId="Num10">
    <w:name w:val="Num.1)"/>
    <w:basedOn w:val="Text"/>
    <w:pPr>
      <w:ind w:left="283" w:hanging="283"/>
    </w:pPr>
  </w:style>
  <w:style w:type="paragraph" w:customStyle="1" w:styleId="Num11">
    <w:name w:val="Num.(1)"/>
    <w:basedOn w:val="Text"/>
    <w:pPr>
      <w:ind w:left="397" w:hanging="397"/>
    </w:pPr>
  </w:style>
  <w:style w:type="paragraph" w:customStyle="1" w:styleId="NumI">
    <w:name w:val="Num.I."/>
    <w:basedOn w:val="Text"/>
    <w:pPr>
      <w:ind w:left="283" w:hanging="283"/>
    </w:pPr>
  </w:style>
  <w:style w:type="paragraph" w:customStyle="1" w:styleId="NumA">
    <w:name w:val="Num.A)"/>
    <w:basedOn w:val="Num1"/>
    <w:pPr>
      <w:ind w:left="340" w:hanging="340"/>
    </w:pPr>
  </w:style>
  <w:style w:type="paragraph" w:customStyle="1" w:styleId="Numa0">
    <w:name w:val="Num.a)"/>
    <w:basedOn w:val="NumA"/>
  </w:style>
  <w:style w:type="character" w:styleId="Kommentarzeichen">
    <w:name w:val="annotation reference"/>
    <w:basedOn w:val="Absatz-Standardschriftart"/>
    <w:uiPriority w:val="99"/>
    <w:semiHidden/>
    <w:unhideWhenUsed/>
    <w:rsid w:val="0029559D"/>
    <w:rPr>
      <w:sz w:val="16"/>
      <w:szCs w:val="16"/>
    </w:rPr>
  </w:style>
  <w:style w:type="paragraph" w:styleId="Kommentartext">
    <w:name w:val="annotation text"/>
    <w:basedOn w:val="Standard"/>
    <w:link w:val="KommentartextZchn"/>
    <w:uiPriority w:val="99"/>
    <w:semiHidden/>
    <w:unhideWhenUsed/>
    <w:rsid w:val="0029559D"/>
    <w:rPr>
      <w:sz w:val="20"/>
      <w:szCs w:val="20"/>
    </w:rPr>
  </w:style>
  <w:style w:type="character" w:customStyle="1" w:styleId="KommentartextZchn">
    <w:name w:val="Kommentartext Zchn"/>
    <w:basedOn w:val="Absatz-Standardschriftart"/>
    <w:link w:val="Kommentartext"/>
    <w:uiPriority w:val="99"/>
    <w:semiHidden/>
    <w:rsid w:val="0029559D"/>
    <w:rPr>
      <w:rFonts w:ascii="Arial" w:hAnsi="Arial"/>
      <w:lang w:eastAsia="de-DE"/>
    </w:rPr>
  </w:style>
  <w:style w:type="paragraph" w:styleId="Kommentarthema">
    <w:name w:val="annotation subject"/>
    <w:basedOn w:val="Kommentartext"/>
    <w:next w:val="Kommentartext"/>
    <w:link w:val="KommentarthemaZchn"/>
    <w:uiPriority w:val="99"/>
    <w:semiHidden/>
    <w:unhideWhenUsed/>
    <w:rsid w:val="0029559D"/>
    <w:rPr>
      <w:b/>
      <w:bCs/>
    </w:rPr>
  </w:style>
  <w:style w:type="character" w:customStyle="1" w:styleId="KommentarthemaZchn">
    <w:name w:val="Kommentarthema Zchn"/>
    <w:basedOn w:val="KommentartextZchn"/>
    <w:link w:val="Kommentarthema"/>
    <w:uiPriority w:val="99"/>
    <w:semiHidden/>
    <w:rsid w:val="0029559D"/>
    <w:rPr>
      <w:rFonts w:ascii="Arial" w:hAnsi="Arial"/>
      <w:b/>
      <w:bCs/>
      <w:lang w:eastAsia="de-DE"/>
    </w:rPr>
  </w:style>
  <w:style w:type="paragraph" w:styleId="Sprechblasentext">
    <w:name w:val="Balloon Text"/>
    <w:basedOn w:val="Standard"/>
    <w:link w:val="SprechblasentextZchn"/>
    <w:uiPriority w:val="99"/>
    <w:semiHidden/>
    <w:unhideWhenUsed/>
    <w:rsid w:val="0029559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9559D"/>
    <w:rPr>
      <w:rFonts w:ascii="Tahoma" w:hAnsi="Tahoma" w:cs="Tahoma"/>
      <w:sz w:val="16"/>
      <w:szCs w:val="16"/>
      <w:lang w:eastAsia="de-DE"/>
    </w:rPr>
  </w:style>
  <w:style w:type="paragraph" w:styleId="Listenabsatz">
    <w:name w:val="List Paragraph"/>
    <w:basedOn w:val="Standard"/>
    <w:uiPriority w:val="34"/>
    <w:qFormat/>
    <w:rsid w:val="007273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G:\_Vorlagen\Allgemeine%20Vorlagen\blanko.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D46D03-9271-471A-8F07-B6EACC1D51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blanko.dotx</Template>
  <TotalTime>0</TotalTime>
  <Pages>12</Pages>
  <Words>4927</Words>
  <Characters>31043</Characters>
  <Application>Microsoft Office Word</Application>
  <DocSecurity>4</DocSecurity>
  <Lines>258</Lines>
  <Paragraphs>71</Paragraphs>
  <ScaleCrop>false</ScaleCrop>
  <HeadingPairs>
    <vt:vector size="2" baseType="variant">
      <vt:variant>
        <vt:lpstr>Titel</vt:lpstr>
      </vt:variant>
      <vt:variant>
        <vt:i4>1</vt:i4>
      </vt:variant>
    </vt:vector>
  </HeadingPairs>
  <TitlesOfParts>
    <vt:vector size="1" baseType="lpstr">
      <vt:lpstr/>
    </vt:vector>
  </TitlesOfParts>
  <Company>MLUR</Company>
  <LinksUpToDate>false</LinksUpToDate>
  <CharactersWithSpaces>35899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Poos, Marion (MLUR)</dc:creator>
  <cp:lastModifiedBy>Lansberg, Stefan (LLUR)</cp:lastModifiedBy>
  <cp:revision>2</cp:revision>
  <cp:lastPrinted>2015-02-13T14:35:00Z</cp:lastPrinted>
  <dcterms:created xsi:type="dcterms:W3CDTF">2017-11-08T12:16:00Z</dcterms:created>
  <dcterms:modified xsi:type="dcterms:W3CDTF">2017-11-08T12:16:00Z</dcterms:modified>
</cp:coreProperties>
</file>